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7D" w:rsidRDefault="00833497" w:rsidP="00D37360">
      <w:pPr>
        <w:pStyle w:val="berschrift3"/>
        <w:ind w:left="0"/>
      </w:pPr>
      <w:r>
        <w:t>Anlage A</w:t>
      </w:r>
    </w:p>
    <w:p w:rsidR="006F1B7D" w:rsidRDefault="00D37360" w:rsidP="00D37360">
      <w:pPr>
        <w:spacing w:before="120" w:line="-240" w:lineRule="auto"/>
        <w:rPr>
          <w:rFonts w:ascii="Arial" w:hAnsi="Arial"/>
          <w:sz w:val="22"/>
        </w:rPr>
      </w:pPr>
      <w:r>
        <w:rPr>
          <w:rFonts w:ascii="Arial" w:hAnsi="Arial"/>
          <w:sz w:val="22"/>
        </w:rPr>
        <w:t>zum Schreiben des BM</w:t>
      </w:r>
      <w:r w:rsidR="004E2818">
        <w:rPr>
          <w:rFonts w:ascii="Arial" w:hAnsi="Arial"/>
          <w:sz w:val="22"/>
        </w:rPr>
        <w:t>WK</w:t>
      </w:r>
    </w:p>
    <w:p w:rsidR="006F1B7D" w:rsidRDefault="00BB104B" w:rsidP="00D37360">
      <w:pPr>
        <w:spacing w:line="-240" w:lineRule="auto"/>
        <w:rPr>
          <w:rFonts w:ascii="Arial" w:hAnsi="Arial"/>
          <w:sz w:val="22"/>
        </w:rPr>
      </w:pPr>
      <w:r>
        <w:rPr>
          <w:rFonts w:ascii="Arial" w:hAnsi="Arial"/>
          <w:sz w:val="22"/>
        </w:rPr>
        <w:t>vom</w:t>
      </w:r>
      <w:r w:rsidR="00DE69E5">
        <w:rPr>
          <w:rFonts w:ascii="Arial" w:hAnsi="Arial"/>
          <w:sz w:val="22"/>
        </w:rPr>
        <w:t xml:space="preserve"> </w:t>
      </w:r>
      <w:r w:rsidR="00DE69E5">
        <w:rPr>
          <w:rFonts w:ascii="Arial" w:hAnsi="Arial"/>
          <w:sz w:val="22"/>
        </w:rPr>
        <w:fldChar w:fldCharType="begin">
          <w:ffData>
            <w:name w:val="Text1"/>
            <w:enabled/>
            <w:calcOnExit w:val="0"/>
            <w:textInput>
              <w:type w:val="date"/>
              <w:format w:val="dd.MM.yyyy"/>
            </w:textInput>
          </w:ffData>
        </w:fldChar>
      </w:r>
      <w:bookmarkStart w:id="0" w:name="Text1"/>
      <w:r w:rsidR="00DE69E5">
        <w:rPr>
          <w:rFonts w:ascii="Arial" w:hAnsi="Arial"/>
          <w:sz w:val="22"/>
        </w:rPr>
        <w:instrText xml:space="preserve"> FORMTEXT </w:instrText>
      </w:r>
      <w:r w:rsidR="00DE69E5">
        <w:rPr>
          <w:rFonts w:ascii="Arial" w:hAnsi="Arial"/>
          <w:sz w:val="22"/>
        </w:rPr>
      </w:r>
      <w:r w:rsidR="00DE69E5">
        <w:rPr>
          <w:rFonts w:ascii="Arial" w:hAnsi="Arial"/>
          <w:sz w:val="22"/>
        </w:rPr>
        <w:fldChar w:fldCharType="separate"/>
      </w:r>
      <w:bookmarkStart w:id="1" w:name="_GoBack"/>
      <w:bookmarkEnd w:id="1"/>
      <w:r w:rsidR="00791110">
        <w:rPr>
          <w:rFonts w:ascii="Arial" w:hAnsi="Arial"/>
          <w:sz w:val="22"/>
        </w:rPr>
        <w:t>01.01.2023</w:t>
      </w:r>
      <w:r w:rsidR="00DE69E5">
        <w:rPr>
          <w:rFonts w:ascii="Arial" w:hAnsi="Arial"/>
          <w:sz w:val="22"/>
        </w:rPr>
        <w:fldChar w:fldCharType="end"/>
      </w:r>
      <w:bookmarkEnd w:id="0"/>
      <w:r>
        <w:rPr>
          <w:rFonts w:ascii="Arial" w:hAnsi="Arial"/>
          <w:sz w:val="22"/>
        </w:rPr>
        <w:t>,</w:t>
      </w:r>
    </w:p>
    <w:p w:rsidR="006F1B7D" w:rsidRDefault="00D37360" w:rsidP="00D37360">
      <w:pPr>
        <w:tabs>
          <w:tab w:val="right" w:pos="8364"/>
        </w:tabs>
        <w:spacing w:before="120" w:line="-240" w:lineRule="auto"/>
        <w:rPr>
          <w:rFonts w:ascii="Arial" w:hAnsi="Arial"/>
          <w:sz w:val="22"/>
          <w:u w:val="single"/>
        </w:rPr>
      </w:pPr>
      <w:r>
        <w:rPr>
          <w:rFonts w:ascii="Arial" w:hAnsi="Arial"/>
          <w:sz w:val="22"/>
          <w:u w:val="single"/>
        </w:rPr>
        <w:t xml:space="preserve">Förderkennzeichen: </w:t>
      </w:r>
      <w:r w:rsidR="00DE69E5" w:rsidRPr="00DE69E5">
        <w:rPr>
          <w:rFonts w:ascii="Arial" w:hAnsi="Arial"/>
          <w:sz w:val="22"/>
        </w:rPr>
        <w:fldChar w:fldCharType="begin">
          <w:ffData>
            <w:name w:val="Text2"/>
            <w:enabled/>
            <w:calcOnExit w:val="0"/>
            <w:textInput/>
          </w:ffData>
        </w:fldChar>
      </w:r>
      <w:bookmarkStart w:id="2" w:name="Text2"/>
      <w:r w:rsidR="00DE69E5" w:rsidRPr="00DE69E5">
        <w:rPr>
          <w:rFonts w:ascii="Arial" w:hAnsi="Arial"/>
          <w:sz w:val="22"/>
        </w:rPr>
        <w:instrText xml:space="preserve"> FORMTEXT </w:instrText>
      </w:r>
      <w:r w:rsidR="00DE69E5" w:rsidRPr="00DE69E5">
        <w:rPr>
          <w:rFonts w:ascii="Arial" w:hAnsi="Arial"/>
          <w:sz w:val="22"/>
        </w:rPr>
      </w:r>
      <w:r w:rsidR="00DE69E5" w:rsidRPr="00DE69E5">
        <w:rPr>
          <w:rFonts w:ascii="Arial" w:hAnsi="Arial"/>
          <w:sz w:val="22"/>
        </w:rPr>
        <w:fldChar w:fldCharType="separate"/>
      </w:r>
      <w:r w:rsidR="0041075F">
        <w:rPr>
          <w:rFonts w:ascii="Arial" w:hAnsi="Arial"/>
          <w:sz w:val="22"/>
        </w:rPr>
        <w:t> </w:t>
      </w:r>
      <w:r w:rsidR="0041075F">
        <w:rPr>
          <w:rFonts w:ascii="Arial" w:hAnsi="Arial"/>
          <w:sz w:val="22"/>
        </w:rPr>
        <w:t> </w:t>
      </w:r>
      <w:r w:rsidR="0041075F">
        <w:rPr>
          <w:rFonts w:ascii="Arial" w:hAnsi="Arial"/>
          <w:sz w:val="22"/>
        </w:rPr>
        <w:t> </w:t>
      </w:r>
      <w:r w:rsidR="0041075F">
        <w:rPr>
          <w:rFonts w:ascii="Arial" w:hAnsi="Arial"/>
          <w:sz w:val="22"/>
        </w:rPr>
        <w:t> </w:t>
      </w:r>
      <w:r w:rsidR="0041075F">
        <w:rPr>
          <w:rFonts w:ascii="Arial" w:hAnsi="Arial"/>
          <w:sz w:val="22"/>
        </w:rPr>
        <w:t> </w:t>
      </w:r>
      <w:r w:rsidR="00DE69E5" w:rsidRPr="00DE69E5">
        <w:rPr>
          <w:rFonts w:ascii="Arial" w:hAnsi="Arial"/>
          <w:sz w:val="22"/>
        </w:rPr>
        <w:fldChar w:fldCharType="end"/>
      </w:r>
      <w:bookmarkEnd w:id="2"/>
    </w:p>
    <w:p w:rsidR="00D37360" w:rsidRPr="00CD0B8F" w:rsidRDefault="00D37360" w:rsidP="00D37360">
      <w:pPr>
        <w:spacing w:before="600"/>
        <w:jc w:val="both"/>
        <w:rPr>
          <w:rFonts w:ascii="Arial" w:hAnsi="Arial" w:cs="Arial"/>
          <w:b/>
          <w:sz w:val="24"/>
        </w:rPr>
      </w:pPr>
      <w:r w:rsidRPr="00CD0B8F">
        <w:rPr>
          <w:rFonts w:ascii="Arial" w:hAnsi="Arial" w:cs="Arial"/>
          <w:b/>
          <w:sz w:val="24"/>
        </w:rPr>
        <w:t>Auszug aus dem Strafgesetzbuch und dem Subventionsgesetz</w:t>
      </w:r>
    </w:p>
    <w:p w:rsidR="00D37360" w:rsidRPr="00C50C94" w:rsidRDefault="00D37360" w:rsidP="00D37360">
      <w:pPr>
        <w:pStyle w:val="Listenabsatz"/>
        <w:numPr>
          <w:ilvl w:val="0"/>
          <w:numId w:val="1"/>
        </w:numPr>
        <w:spacing w:before="600"/>
        <w:jc w:val="both"/>
        <w:rPr>
          <w:rFonts w:ascii="Arial" w:eastAsia="Times New Roman" w:hAnsi="Arial" w:cs="Arial"/>
          <w:b/>
          <w:lang w:eastAsia="de-DE"/>
        </w:rPr>
      </w:pPr>
      <w:r w:rsidRPr="00C50C94">
        <w:rPr>
          <w:rFonts w:ascii="Arial" w:eastAsia="Times New Roman" w:hAnsi="Arial" w:cs="Arial"/>
          <w:b/>
          <w:lang w:eastAsia="de-DE"/>
        </w:rPr>
        <w:t>Strafgesetzbuch (StGB)</w:t>
      </w:r>
    </w:p>
    <w:p w:rsidR="00D37360" w:rsidRPr="00A13F12" w:rsidRDefault="00D37360" w:rsidP="00D37360">
      <w:pPr>
        <w:spacing w:before="360"/>
        <w:jc w:val="both"/>
        <w:rPr>
          <w:rFonts w:ascii="Arial" w:hAnsi="Arial" w:cs="Arial"/>
          <w:b/>
          <w:sz w:val="22"/>
          <w:szCs w:val="22"/>
        </w:rPr>
      </w:pPr>
      <w:r w:rsidRPr="00A13F12">
        <w:rPr>
          <w:rFonts w:ascii="Arial" w:hAnsi="Arial" w:cs="Arial"/>
          <w:b/>
          <w:sz w:val="22"/>
          <w:szCs w:val="22"/>
        </w:rPr>
        <w:t>§ 264 StGB - Subventionsbetrug</w:t>
      </w:r>
    </w:p>
    <w:p w:rsidR="00D37360" w:rsidRPr="00A13F12" w:rsidRDefault="00D37360" w:rsidP="00D37360">
      <w:pPr>
        <w:jc w:val="both"/>
        <w:rPr>
          <w:rFonts w:ascii="Arial" w:hAnsi="Arial" w:cs="Arial"/>
          <w:sz w:val="22"/>
          <w:szCs w:val="22"/>
        </w:rPr>
      </w:pPr>
      <w:r w:rsidRPr="00A13F12">
        <w:rPr>
          <w:rFonts w:ascii="Arial" w:hAnsi="Arial" w:cs="Arial"/>
          <w:sz w:val="22"/>
          <w:szCs w:val="22"/>
        </w:rPr>
        <w:t xml:space="preserve">(1) Mit Freiheitsstrafe bis zu fünf Jahren oder mit Geldstrafe wird bestraft, wer </w:t>
      </w:r>
    </w:p>
    <w:p w:rsidR="00D37360" w:rsidRPr="00A13F12" w:rsidRDefault="00D37360" w:rsidP="00D37360">
      <w:pPr>
        <w:pStyle w:val="Listenabsatz"/>
        <w:numPr>
          <w:ilvl w:val="0"/>
          <w:numId w:val="3"/>
        </w:numPr>
        <w:spacing w:after="0" w:line="240" w:lineRule="auto"/>
        <w:rPr>
          <w:rFonts w:ascii="Arial" w:eastAsia="Times New Roman" w:hAnsi="Arial" w:cs="Arial"/>
          <w:lang w:eastAsia="de-DE"/>
        </w:rPr>
      </w:pPr>
      <w:r w:rsidRPr="00A13F12">
        <w:rPr>
          <w:rFonts w:ascii="Arial" w:eastAsia="Times New Roman" w:hAnsi="Arial" w:cs="Arial"/>
          <w:lang w:eastAsia="de-DE"/>
        </w:rPr>
        <w:t>einer für die Bewilligung einer Subvention zuständigen Behörde oder einer anderen in das Subventionsverfahren eingeschalteten Stelle oder Person (Subventionsgeber) über subventionserhebliche Tatsachen für sich oder einen anderen unrichtige oder unvollständige Angaben macht, die für ihn oder den anderen vorteilhaft sind,</w:t>
      </w:r>
    </w:p>
    <w:p w:rsidR="00D37360" w:rsidRPr="00A13F12" w:rsidRDefault="00D37360" w:rsidP="00D37360">
      <w:pPr>
        <w:pStyle w:val="Listenabsatz"/>
        <w:numPr>
          <w:ilvl w:val="0"/>
          <w:numId w:val="3"/>
        </w:numPr>
        <w:spacing w:after="0" w:line="240" w:lineRule="auto"/>
        <w:rPr>
          <w:rFonts w:ascii="Arial" w:eastAsia="Times New Roman" w:hAnsi="Arial" w:cs="Arial"/>
          <w:lang w:eastAsia="de-DE"/>
        </w:rPr>
      </w:pPr>
      <w:r w:rsidRPr="00A13F12">
        <w:rPr>
          <w:rFonts w:ascii="Arial" w:eastAsia="Times New Roman" w:hAnsi="Arial" w:cs="Arial"/>
          <w:lang w:eastAsia="de-DE"/>
        </w:rPr>
        <w:t>einen Gegenstand oder eine Geldleistung, deren Verwendung durch Rechtsvorschriften oder durch den Subventionsgeber im Hinblick auf eine Subvention beschränkt ist, entgegen der Verwendungsbeschränkung verwendet,</w:t>
      </w:r>
    </w:p>
    <w:p w:rsidR="00D37360" w:rsidRPr="00A13F12" w:rsidRDefault="00D37360" w:rsidP="00D37360">
      <w:pPr>
        <w:pStyle w:val="Listenabsatz"/>
        <w:numPr>
          <w:ilvl w:val="0"/>
          <w:numId w:val="3"/>
        </w:numPr>
        <w:spacing w:after="0" w:line="240" w:lineRule="auto"/>
        <w:rPr>
          <w:rFonts w:ascii="Arial" w:eastAsia="Times New Roman" w:hAnsi="Arial" w:cs="Arial"/>
          <w:lang w:eastAsia="de-DE"/>
        </w:rPr>
      </w:pPr>
      <w:r w:rsidRPr="00A13F12">
        <w:rPr>
          <w:rFonts w:ascii="Arial" w:eastAsia="Times New Roman" w:hAnsi="Arial" w:cs="Arial"/>
          <w:lang w:eastAsia="de-DE"/>
        </w:rPr>
        <w:t>den Subventionsgeber entgegen den Rechtsvorschriften über die Subventionsvergabe über subventionserhebliche Tatsachen in Unkenntnis lässt oder</w:t>
      </w:r>
    </w:p>
    <w:p w:rsidR="00D37360" w:rsidRPr="00A13F12" w:rsidRDefault="00D37360" w:rsidP="00D37360">
      <w:pPr>
        <w:pStyle w:val="Listenabsatz"/>
        <w:numPr>
          <w:ilvl w:val="0"/>
          <w:numId w:val="3"/>
        </w:numPr>
        <w:spacing w:after="0" w:line="240" w:lineRule="auto"/>
        <w:rPr>
          <w:rFonts w:ascii="Arial" w:eastAsia="Times New Roman" w:hAnsi="Arial" w:cs="Arial"/>
          <w:lang w:eastAsia="de-DE"/>
        </w:rPr>
      </w:pPr>
      <w:r w:rsidRPr="00A13F12">
        <w:rPr>
          <w:rFonts w:ascii="Arial" w:eastAsia="Times New Roman" w:hAnsi="Arial" w:cs="Arial"/>
          <w:lang w:eastAsia="de-DE"/>
        </w:rPr>
        <w:t>in einem Subventionsverfahren eine durch unrichtige oder unvollständige Angaben erlangte Bescheinigung über eine Subventionsberechtigung oder über subventionserhebliche Tatsachen gebraucht.</w:t>
      </w:r>
    </w:p>
    <w:p w:rsidR="00D37360" w:rsidRPr="00A13F12" w:rsidRDefault="00D37360" w:rsidP="00D37360">
      <w:pPr>
        <w:spacing w:before="240"/>
        <w:ind w:left="284" w:hanging="284"/>
        <w:rPr>
          <w:rFonts w:ascii="Arial" w:hAnsi="Arial" w:cs="Arial"/>
          <w:sz w:val="22"/>
          <w:szCs w:val="22"/>
        </w:rPr>
      </w:pPr>
      <w:r w:rsidRPr="00A13F12">
        <w:rPr>
          <w:rFonts w:ascii="Arial" w:hAnsi="Arial" w:cs="Arial"/>
          <w:sz w:val="22"/>
          <w:szCs w:val="22"/>
        </w:rPr>
        <w:t xml:space="preserve">(2) In besonders schweren Fällen ist die Strafe Freiheitsstrafe von sechs Monaten bis zu zehn Jahren. Ein besonders schwerer Fall liegt in der Regel vor, wenn der Täter </w:t>
      </w:r>
    </w:p>
    <w:p w:rsidR="00D37360" w:rsidRPr="00A13F12" w:rsidRDefault="00D37360" w:rsidP="00D37360">
      <w:pPr>
        <w:pStyle w:val="Listenabsatz"/>
        <w:numPr>
          <w:ilvl w:val="0"/>
          <w:numId w:val="2"/>
        </w:numPr>
        <w:spacing w:after="0" w:line="240" w:lineRule="auto"/>
        <w:rPr>
          <w:rFonts w:ascii="Arial" w:eastAsia="Times New Roman" w:hAnsi="Arial" w:cs="Arial"/>
          <w:lang w:eastAsia="de-DE"/>
        </w:rPr>
      </w:pPr>
      <w:r w:rsidRPr="00A13F12">
        <w:rPr>
          <w:rFonts w:ascii="Arial" w:eastAsia="Times New Roman" w:hAnsi="Arial" w:cs="Arial"/>
          <w:lang w:eastAsia="de-DE"/>
        </w:rPr>
        <w:t>aus grobem Eigennutz oder unter Verwendung nachgemachter oder verfälschter Belege für sich oder einen anderen eine nicht gerechtfertigte Subvention großen Ausmaßes erlangt,</w:t>
      </w:r>
    </w:p>
    <w:p w:rsidR="00D37360" w:rsidRPr="00A13F12" w:rsidRDefault="00D37360" w:rsidP="00D37360">
      <w:pPr>
        <w:pStyle w:val="Listenabsatz"/>
        <w:numPr>
          <w:ilvl w:val="0"/>
          <w:numId w:val="2"/>
        </w:numPr>
        <w:spacing w:after="0" w:line="240" w:lineRule="auto"/>
        <w:rPr>
          <w:rFonts w:ascii="Arial" w:eastAsia="Times New Roman" w:hAnsi="Arial" w:cs="Arial"/>
          <w:lang w:eastAsia="de-DE"/>
        </w:rPr>
      </w:pPr>
      <w:r w:rsidRPr="00A13F12">
        <w:rPr>
          <w:rFonts w:ascii="Arial" w:eastAsia="Times New Roman" w:hAnsi="Arial" w:cs="Arial"/>
          <w:lang w:eastAsia="de-DE"/>
        </w:rPr>
        <w:t>seine Befugnisse oder seine Stellung als Amtsträger oder Europäischer Amtsträger missbraucht oder</w:t>
      </w:r>
    </w:p>
    <w:p w:rsidR="00D37360" w:rsidRPr="00A13F12" w:rsidRDefault="00D37360" w:rsidP="00D37360">
      <w:pPr>
        <w:pStyle w:val="Listenabsatz"/>
        <w:numPr>
          <w:ilvl w:val="0"/>
          <w:numId w:val="2"/>
        </w:numPr>
        <w:spacing w:after="0" w:line="240" w:lineRule="auto"/>
        <w:rPr>
          <w:rFonts w:ascii="Arial" w:eastAsia="Times New Roman" w:hAnsi="Arial" w:cs="Arial"/>
          <w:lang w:eastAsia="de-DE"/>
        </w:rPr>
      </w:pPr>
      <w:r w:rsidRPr="00A13F12">
        <w:rPr>
          <w:rFonts w:ascii="Arial" w:eastAsia="Times New Roman" w:hAnsi="Arial" w:cs="Arial"/>
          <w:lang w:eastAsia="de-DE"/>
        </w:rPr>
        <w:t>die Mithilfe eines Amtsträgers oder Europäischen Amtsträgers ausnutzt, der seine Befugnisse oder seine Stellung missbraucht.</w:t>
      </w:r>
    </w:p>
    <w:p w:rsidR="00D37360" w:rsidRPr="00A13F12" w:rsidRDefault="00D37360" w:rsidP="00D37360">
      <w:pPr>
        <w:spacing w:before="240"/>
        <w:jc w:val="both"/>
        <w:rPr>
          <w:rFonts w:ascii="Arial" w:hAnsi="Arial" w:cs="Arial"/>
          <w:sz w:val="22"/>
          <w:szCs w:val="22"/>
        </w:rPr>
      </w:pPr>
      <w:r w:rsidRPr="00A13F12">
        <w:rPr>
          <w:rFonts w:ascii="Arial" w:hAnsi="Arial" w:cs="Arial"/>
          <w:sz w:val="22"/>
          <w:szCs w:val="22"/>
        </w:rPr>
        <w:t>(3) § 263 Abs. 5 gilt entsprechend.</w:t>
      </w:r>
      <w:r w:rsidRPr="00A13F12">
        <w:rPr>
          <w:rStyle w:val="Funotenzeichen"/>
          <w:rFonts w:ascii="Arial" w:hAnsi="Arial" w:cs="Arial"/>
          <w:sz w:val="22"/>
          <w:szCs w:val="22"/>
        </w:rPr>
        <w:footnoteReference w:id="1"/>
      </w:r>
    </w:p>
    <w:p w:rsidR="00D37360" w:rsidRPr="00A13F12" w:rsidRDefault="00D37360" w:rsidP="00D37360">
      <w:pPr>
        <w:spacing w:before="240"/>
        <w:rPr>
          <w:rFonts w:ascii="Arial" w:hAnsi="Arial" w:cs="Arial"/>
          <w:sz w:val="22"/>
          <w:szCs w:val="22"/>
        </w:rPr>
      </w:pPr>
      <w:r w:rsidRPr="00A13F12">
        <w:rPr>
          <w:rFonts w:ascii="Arial" w:hAnsi="Arial" w:cs="Arial"/>
          <w:sz w:val="22"/>
          <w:szCs w:val="22"/>
        </w:rPr>
        <w:t>(4) In den Fällen des Absatzes 1 Nummer 2 ist der Versuch strafbar.</w:t>
      </w:r>
    </w:p>
    <w:p w:rsidR="00D37360" w:rsidRPr="00A13F12" w:rsidRDefault="00D37360" w:rsidP="00D37360">
      <w:pPr>
        <w:spacing w:before="240"/>
        <w:rPr>
          <w:rFonts w:ascii="Arial" w:hAnsi="Arial" w:cs="Arial"/>
          <w:sz w:val="22"/>
          <w:szCs w:val="22"/>
        </w:rPr>
      </w:pPr>
      <w:r w:rsidRPr="00A13F12">
        <w:rPr>
          <w:rFonts w:ascii="Arial" w:hAnsi="Arial" w:cs="Arial"/>
          <w:sz w:val="22"/>
          <w:szCs w:val="22"/>
        </w:rPr>
        <w:t>(5) Wer in den Fällen des Absatzes 1 Nr. 1 bis 3 leichtfertig handelt, wird mit Freiheitsstrafe bis zu drei Jahren oder mit Geldstrafe bestraft.</w:t>
      </w:r>
    </w:p>
    <w:p w:rsidR="00D37360" w:rsidRPr="00A13F12" w:rsidRDefault="00D37360" w:rsidP="00D37360">
      <w:pPr>
        <w:spacing w:before="240"/>
        <w:rPr>
          <w:rFonts w:ascii="Arial" w:hAnsi="Arial" w:cs="Arial"/>
          <w:sz w:val="22"/>
          <w:szCs w:val="22"/>
        </w:rPr>
      </w:pPr>
      <w:r w:rsidRPr="00A13F12">
        <w:rPr>
          <w:rFonts w:ascii="Arial" w:hAnsi="Arial" w:cs="Arial"/>
          <w:sz w:val="22"/>
          <w:szCs w:val="22"/>
        </w:rPr>
        <w:t>(6) Nach den Absätzen 1 und 5 wird nicht bestraft, wer freiwillig verhindert, dass auf Grund der Tat die Subvention gewährt wird. Wird die Subvention ohne Zutun des Täters nicht gewährt, so wird er straflos, wenn er sich freiwillig und ernsthaft bemüht, das Gewähren der Subvention zu verhindern.</w:t>
      </w:r>
    </w:p>
    <w:p w:rsidR="00D37360" w:rsidRPr="00A13F12" w:rsidRDefault="00D37360" w:rsidP="00D37360">
      <w:pPr>
        <w:spacing w:before="240"/>
        <w:rPr>
          <w:rFonts w:ascii="Arial" w:hAnsi="Arial" w:cs="Arial"/>
          <w:sz w:val="22"/>
          <w:szCs w:val="22"/>
        </w:rPr>
      </w:pPr>
      <w:r w:rsidRPr="00A13F12">
        <w:rPr>
          <w:rFonts w:ascii="Arial" w:hAnsi="Arial" w:cs="Arial"/>
          <w:sz w:val="22"/>
          <w:szCs w:val="22"/>
        </w:rPr>
        <w:t xml:space="preserve">(7) Neben einer Freiheitsstrafe von mindestens einem Jahr wegen einer Straftat nach den Absätzen 1 bis 3 kann das Gericht die Fähigkeit, öffentliche Ämter zu bekleiden, und die </w:t>
      </w:r>
      <w:r w:rsidRPr="00A13F12">
        <w:rPr>
          <w:rFonts w:ascii="Arial" w:hAnsi="Arial" w:cs="Arial"/>
          <w:sz w:val="22"/>
          <w:szCs w:val="22"/>
        </w:rPr>
        <w:lastRenderedPageBreak/>
        <w:t>Fähigkeit, Rechte aus öffentlichen Wahlen zu erlangen, aberkennen (§ 45 Abs. 2). Gegenstände, auf die sich die Tat bezieht, können eingezogen werden; § 74a ist anzuwenden.</w:t>
      </w:r>
    </w:p>
    <w:p w:rsidR="00D37360" w:rsidRPr="00A13F12" w:rsidRDefault="00D37360" w:rsidP="00D37360">
      <w:pPr>
        <w:spacing w:before="240"/>
        <w:rPr>
          <w:rFonts w:ascii="Arial" w:hAnsi="Arial" w:cs="Arial"/>
          <w:sz w:val="22"/>
          <w:szCs w:val="22"/>
        </w:rPr>
      </w:pPr>
      <w:r w:rsidRPr="00A13F12">
        <w:rPr>
          <w:rFonts w:ascii="Arial" w:hAnsi="Arial" w:cs="Arial"/>
          <w:sz w:val="22"/>
          <w:szCs w:val="22"/>
        </w:rPr>
        <w:t xml:space="preserve">(8) Subvention im Sinne dieser Vorschrift ist </w:t>
      </w:r>
    </w:p>
    <w:p w:rsidR="00D37360" w:rsidRPr="00A13F12" w:rsidRDefault="00D37360" w:rsidP="00D37360">
      <w:pPr>
        <w:pStyle w:val="Listenabsatz"/>
        <w:numPr>
          <w:ilvl w:val="0"/>
          <w:numId w:val="4"/>
        </w:numPr>
        <w:spacing w:after="0" w:line="240" w:lineRule="auto"/>
        <w:rPr>
          <w:rFonts w:ascii="Arial" w:eastAsia="Times New Roman" w:hAnsi="Arial" w:cs="Arial"/>
          <w:lang w:eastAsia="de-DE"/>
        </w:rPr>
      </w:pPr>
      <w:r w:rsidRPr="00A13F12">
        <w:rPr>
          <w:rFonts w:ascii="Arial" w:eastAsia="Times New Roman" w:hAnsi="Arial" w:cs="Arial"/>
          <w:lang w:eastAsia="de-DE"/>
        </w:rPr>
        <w:t>eine Leistung aus öffentlichen Mitteln nach Bundes- oder Landesrecht an Betriebe oder Unternehmen, die wenigstens zum Teil</w:t>
      </w:r>
    </w:p>
    <w:p w:rsidR="00D37360" w:rsidRPr="00A13F12" w:rsidRDefault="00D37360" w:rsidP="00D37360">
      <w:pPr>
        <w:pStyle w:val="Listenabsatz"/>
        <w:spacing w:after="0" w:line="240" w:lineRule="auto"/>
        <w:ind w:left="706"/>
        <w:rPr>
          <w:rFonts w:ascii="Arial" w:eastAsia="Times New Roman" w:hAnsi="Arial" w:cs="Arial"/>
          <w:lang w:eastAsia="de-DE"/>
        </w:rPr>
      </w:pPr>
      <w:r w:rsidRPr="00A13F12">
        <w:rPr>
          <w:rFonts w:ascii="Arial" w:eastAsia="Times New Roman" w:hAnsi="Arial" w:cs="Arial"/>
          <w:lang w:eastAsia="de-DE"/>
        </w:rPr>
        <w:t>a) ohne marktmäßige Gegenleistung gewährt wird und</w:t>
      </w:r>
    </w:p>
    <w:p w:rsidR="00D37360" w:rsidRPr="00A13F12" w:rsidRDefault="00D37360" w:rsidP="00D37360">
      <w:pPr>
        <w:pStyle w:val="Listenabsatz"/>
        <w:spacing w:after="0" w:line="240" w:lineRule="auto"/>
        <w:ind w:left="706"/>
        <w:rPr>
          <w:rFonts w:ascii="Arial" w:eastAsia="Times New Roman" w:hAnsi="Arial" w:cs="Arial"/>
          <w:lang w:eastAsia="de-DE"/>
        </w:rPr>
      </w:pPr>
      <w:r w:rsidRPr="00A13F12">
        <w:rPr>
          <w:rFonts w:ascii="Arial" w:eastAsia="Times New Roman" w:hAnsi="Arial" w:cs="Arial"/>
          <w:lang w:eastAsia="de-DE"/>
        </w:rPr>
        <w:t>b) der Förderung der Wirtschaft dienen soll;</w:t>
      </w:r>
    </w:p>
    <w:p w:rsidR="00D37360" w:rsidRPr="00A13F12" w:rsidRDefault="00D37360" w:rsidP="00D37360">
      <w:pPr>
        <w:pStyle w:val="Listenabsatz"/>
        <w:numPr>
          <w:ilvl w:val="0"/>
          <w:numId w:val="4"/>
        </w:numPr>
        <w:spacing w:after="0" w:line="240" w:lineRule="auto"/>
        <w:rPr>
          <w:rFonts w:ascii="Arial" w:eastAsia="Times New Roman" w:hAnsi="Arial" w:cs="Arial"/>
          <w:lang w:eastAsia="de-DE"/>
        </w:rPr>
      </w:pPr>
      <w:r w:rsidRPr="00A13F12">
        <w:rPr>
          <w:rFonts w:ascii="Arial" w:eastAsia="Times New Roman" w:hAnsi="Arial" w:cs="Arial"/>
          <w:lang w:eastAsia="de-DE"/>
        </w:rPr>
        <w:t>eine Leistung aus öffentlichen Mitteln nach dem Recht der Europäischen Union, die wenigstens zum Teil ohne marktmäßige Gegenleistung gewährt wird</w:t>
      </w:r>
    </w:p>
    <w:p w:rsidR="00D37360" w:rsidRPr="00A13F12" w:rsidRDefault="00D37360" w:rsidP="00D37360">
      <w:pPr>
        <w:spacing w:before="240"/>
        <w:rPr>
          <w:rFonts w:ascii="Arial" w:hAnsi="Arial" w:cs="Arial"/>
          <w:sz w:val="22"/>
          <w:szCs w:val="22"/>
        </w:rPr>
      </w:pPr>
      <w:r w:rsidRPr="00A13F12">
        <w:rPr>
          <w:rFonts w:ascii="Arial" w:hAnsi="Arial" w:cs="Arial"/>
          <w:sz w:val="22"/>
          <w:szCs w:val="22"/>
        </w:rPr>
        <w:t>Betrieb oder Unternehmen im Sinne des Satzes 1 Nr. 1 ist auch das öffentliche Unternehmen.</w:t>
      </w:r>
    </w:p>
    <w:p w:rsidR="00D37360" w:rsidRPr="00A13F12" w:rsidRDefault="00D37360" w:rsidP="00D37360">
      <w:pPr>
        <w:spacing w:before="240"/>
        <w:rPr>
          <w:rFonts w:ascii="Arial" w:hAnsi="Arial" w:cs="Arial"/>
          <w:sz w:val="22"/>
          <w:szCs w:val="22"/>
        </w:rPr>
      </w:pPr>
      <w:r w:rsidRPr="00A13F12">
        <w:rPr>
          <w:rFonts w:ascii="Arial" w:hAnsi="Arial" w:cs="Arial"/>
          <w:sz w:val="22"/>
          <w:szCs w:val="22"/>
        </w:rPr>
        <w:t xml:space="preserve">(9) Subventionserheblich im Sinne des Absatzes 1 sind Tatsachen, </w:t>
      </w:r>
    </w:p>
    <w:p w:rsidR="00D37360" w:rsidRPr="00A13F12" w:rsidRDefault="00D37360" w:rsidP="00D37360">
      <w:pPr>
        <w:pStyle w:val="Listenabsatz"/>
        <w:numPr>
          <w:ilvl w:val="0"/>
          <w:numId w:val="5"/>
        </w:numPr>
        <w:spacing w:after="0" w:line="240" w:lineRule="auto"/>
        <w:rPr>
          <w:rFonts w:ascii="Arial" w:eastAsia="Times New Roman" w:hAnsi="Arial" w:cs="Arial"/>
          <w:lang w:eastAsia="de-DE"/>
        </w:rPr>
      </w:pPr>
      <w:r w:rsidRPr="00A13F12">
        <w:rPr>
          <w:rFonts w:ascii="Arial" w:eastAsia="Times New Roman" w:hAnsi="Arial" w:cs="Arial"/>
          <w:lang w:eastAsia="de-DE"/>
        </w:rPr>
        <w:t>die durch Gesetz oder auf Grund eines Gesetzes von dem Subventionsgeber als subventionserheblich bezeichnet sind oder</w:t>
      </w:r>
    </w:p>
    <w:p w:rsidR="00D37360" w:rsidRPr="00A13F12" w:rsidRDefault="00D37360" w:rsidP="00D37360">
      <w:pPr>
        <w:pStyle w:val="Listenabsatz"/>
        <w:numPr>
          <w:ilvl w:val="0"/>
          <w:numId w:val="5"/>
        </w:numPr>
        <w:spacing w:after="240" w:line="240" w:lineRule="auto"/>
        <w:rPr>
          <w:rFonts w:ascii="Arial" w:eastAsia="Times New Roman" w:hAnsi="Arial" w:cs="Arial"/>
          <w:lang w:eastAsia="de-DE"/>
        </w:rPr>
      </w:pPr>
      <w:r w:rsidRPr="00A13F12">
        <w:rPr>
          <w:rFonts w:ascii="Arial" w:eastAsia="Times New Roman" w:hAnsi="Arial" w:cs="Arial"/>
          <w:lang w:eastAsia="de-DE"/>
        </w:rPr>
        <w:t>von denen die Bewilligung, Gewährung, Rückforderung, Weitergewährung oder das Belassen einer Subvention oder eines Subventionsvorteils gesetzlich oder nach dem Subventionsvertrag abhängig ist.</w:t>
      </w:r>
    </w:p>
    <w:p w:rsidR="00D37360" w:rsidRPr="00C50C94" w:rsidRDefault="00D37360" w:rsidP="00BB104B">
      <w:pPr>
        <w:pStyle w:val="Listenabsatz"/>
        <w:numPr>
          <w:ilvl w:val="0"/>
          <w:numId w:val="1"/>
        </w:numPr>
        <w:spacing w:before="600"/>
        <w:ind w:left="357" w:hanging="357"/>
        <w:contextualSpacing w:val="0"/>
        <w:rPr>
          <w:rFonts w:ascii="Arial" w:eastAsia="Times New Roman" w:hAnsi="Arial" w:cs="Arial"/>
          <w:b/>
          <w:lang w:eastAsia="de-DE"/>
        </w:rPr>
      </w:pPr>
      <w:r w:rsidRPr="00C50C94">
        <w:rPr>
          <w:rFonts w:ascii="Arial" w:eastAsia="Times New Roman" w:hAnsi="Arial" w:cs="Arial"/>
          <w:b/>
          <w:lang w:eastAsia="de-DE"/>
        </w:rPr>
        <w:t>Gesetz gegen missbräuchliche Inanspruchnahme von Subventionen (Subventionsgesetz – SubvG)</w:t>
      </w:r>
    </w:p>
    <w:p w:rsidR="003B53C6" w:rsidRPr="00A13F12" w:rsidRDefault="00D37360" w:rsidP="003B53C6">
      <w:pPr>
        <w:spacing w:before="240" w:after="120" w:line="276" w:lineRule="auto"/>
        <w:jc w:val="both"/>
        <w:rPr>
          <w:rFonts w:ascii="Arial" w:hAnsi="Arial" w:cs="Arial"/>
          <w:b/>
          <w:sz w:val="22"/>
          <w:szCs w:val="22"/>
        </w:rPr>
      </w:pPr>
      <w:r w:rsidRPr="00A13F12">
        <w:rPr>
          <w:rFonts w:ascii="Arial" w:hAnsi="Arial" w:cs="Arial"/>
          <w:b/>
          <w:sz w:val="22"/>
          <w:szCs w:val="22"/>
        </w:rPr>
        <w:t>§ 3 Offenbarungspflicht bei der Inanspruchnahme von Subventionen</w:t>
      </w:r>
    </w:p>
    <w:p w:rsidR="00D37360" w:rsidRPr="00A13F12" w:rsidRDefault="00D37360" w:rsidP="00A13F12">
      <w:pPr>
        <w:pStyle w:val="Listenabsatz"/>
        <w:numPr>
          <w:ilvl w:val="0"/>
          <w:numId w:val="6"/>
        </w:numPr>
        <w:spacing w:after="240" w:line="240" w:lineRule="auto"/>
        <w:ind w:left="419" w:hanging="419"/>
        <w:contextualSpacing w:val="0"/>
        <w:rPr>
          <w:rFonts w:ascii="Arial" w:eastAsia="Times New Roman" w:hAnsi="Arial" w:cs="Arial"/>
          <w:lang w:eastAsia="de-DE"/>
        </w:rPr>
      </w:pPr>
      <w:r w:rsidRPr="00A13F12">
        <w:rPr>
          <w:rFonts w:ascii="Arial" w:eastAsia="Times New Roman" w:hAnsi="Arial" w:cs="Arial"/>
          <w:lang w:eastAsia="de-DE"/>
        </w:rPr>
        <w:t>Der Subventionsnehmer ist verpflichtet, dem Subventionsgeber unverzüglich alle Tatsachen mitzuteilen, die der Bewilligung, Gewährung, Weitergewährung, Inanspruchnahme oder dem Belassen der Subvention oder des Subventionsvorteils entgegenstehen oder für die Rückforderung der Subvention oder des Subventionsvorteils erheblich sind. Besonders bestehende Pflichten zur Offenbarung bleiben unberührt.</w:t>
      </w:r>
    </w:p>
    <w:p w:rsidR="00D37360" w:rsidRPr="00A13F12" w:rsidRDefault="00D37360" w:rsidP="00A13F12">
      <w:pPr>
        <w:pStyle w:val="Listenabsatz"/>
        <w:numPr>
          <w:ilvl w:val="0"/>
          <w:numId w:val="6"/>
        </w:numPr>
        <w:spacing w:after="240" w:line="240" w:lineRule="auto"/>
        <w:ind w:left="419" w:hanging="419"/>
        <w:contextualSpacing w:val="0"/>
        <w:rPr>
          <w:rFonts w:ascii="Arial" w:eastAsia="Times New Roman" w:hAnsi="Arial" w:cs="Arial"/>
          <w:lang w:eastAsia="de-DE"/>
        </w:rPr>
      </w:pPr>
      <w:r w:rsidRPr="00A13F12">
        <w:rPr>
          <w:rFonts w:ascii="Arial" w:eastAsia="Times New Roman" w:hAnsi="Arial" w:cs="Arial"/>
          <w:lang w:eastAsia="de-DE"/>
        </w:rPr>
        <w:t>Wer einen Gegenstand oder eine Geldleistung, deren Verwendung durch Gesetz oder durch den Subventionsgeber im Hinblick auf eine Subvention beschränkt ist, entgegen der Verwendungsbeschränkung verwenden will, hat dies rechtzeitig vorher dem Subventionsgeber anzuzeigen.</w:t>
      </w:r>
    </w:p>
    <w:p w:rsidR="00D37360" w:rsidRPr="00A13F12" w:rsidRDefault="00D37360" w:rsidP="00A13F12">
      <w:pPr>
        <w:spacing w:before="240" w:line="360" w:lineRule="auto"/>
        <w:jc w:val="both"/>
        <w:rPr>
          <w:rFonts w:ascii="Arial" w:hAnsi="Arial" w:cs="Arial"/>
          <w:b/>
          <w:sz w:val="22"/>
          <w:szCs w:val="22"/>
        </w:rPr>
      </w:pPr>
      <w:r w:rsidRPr="00A13F12">
        <w:rPr>
          <w:rFonts w:ascii="Arial" w:hAnsi="Arial" w:cs="Arial"/>
          <w:b/>
          <w:sz w:val="22"/>
          <w:szCs w:val="22"/>
        </w:rPr>
        <w:t>§ 4 Scheingeschäfte, Missbrauch von Gestaltungsmöglichkeiten</w:t>
      </w:r>
    </w:p>
    <w:p w:rsidR="00D37360" w:rsidRPr="00A13F12" w:rsidRDefault="00D37360" w:rsidP="005830F6">
      <w:pPr>
        <w:pStyle w:val="Listenabsatz"/>
        <w:numPr>
          <w:ilvl w:val="0"/>
          <w:numId w:val="7"/>
        </w:numPr>
        <w:spacing w:after="240" w:line="240" w:lineRule="auto"/>
        <w:contextualSpacing w:val="0"/>
        <w:rPr>
          <w:rFonts w:ascii="Arial" w:eastAsia="Times New Roman" w:hAnsi="Arial" w:cs="Arial"/>
          <w:lang w:eastAsia="de-DE"/>
        </w:rPr>
      </w:pPr>
      <w:r w:rsidRPr="00A13F12">
        <w:rPr>
          <w:rFonts w:ascii="Arial" w:eastAsia="Times New Roman" w:hAnsi="Arial" w:cs="Arial"/>
          <w:lang w:eastAsia="de-DE"/>
        </w:rPr>
        <w:t>Scheingeschäfte und Scheinhandlungen sind für die Bewilligung, Gewährung, Rückforderung und Weitergewährung oder das Belassen einer Subvention oder eines Subventionsvorteils unerheblich. Wird durch ein Scheingeschäft oder eine Scheinhandlung ein anderer Sachverhalt verdeckt, so ist der verdeckte Sachverhalt für die Bewilligung, Gewährung, Rückforderung, Weitergewährung oder das Belassen der Subvention oder des Subventionsvorteils maßgebend.</w:t>
      </w:r>
    </w:p>
    <w:p w:rsidR="00D460CF" w:rsidRPr="003B53C6" w:rsidRDefault="00D37360" w:rsidP="003B53C6">
      <w:pPr>
        <w:pStyle w:val="Listenabsatz"/>
        <w:numPr>
          <w:ilvl w:val="0"/>
          <w:numId w:val="7"/>
        </w:numPr>
        <w:spacing w:before="240" w:after="240" w:line="240" w:lineRule="auto"/>
        <w:contextualSpacing w:val="0"/>
        <w:rPr>
          <w:rFonts w:ascii="Arial" w:hAnsi="Arial" w:cs="Arial"/>
        </w:rPr>
      </w:pPr>
      <w:r w:rsidRPr="003B53C6">
        <w:rPr>
          <w:rFonts w:ascii="Arial" w:eastAsia="Times New Roman" w:hAnsi="Arial" w:cs="Arial"/>
          <w:lang w:eastAsia="de-DE"/>
        </w:rPr>
        <w:t xml:space="preserve">Die Bewilligung oder Gewährung einer Subvention oder eines Subventionsvorteils ist ausgeschlossen, wenn im Zusammenhang mit einer beantragten Subvention ein Rechtsgeschäft oder eine Handlung unter Missbrauch von Gestaltungsmöglichkeiten vorgenommen wird. Ein Missbrauch liegt vor, wenn jemand eine den gegebenen Tatsachen und Verhältnissen unangemessene Gestaltungsmöglichkeit benutzt, um eine Subvention oder einen Subventionsvorteil für sich oder einen anderen in Anspruch zu nehmen oder zu nutzen, obwohl dies dem Subventionszweck widerspricht. Dies ist namentlich dann anzunehmen, wenn die förmlichen Voraussetzungen einer Subvention oder eines </w:t>
      </w:r>
      <w:r w:rsidRPr="003B53C6">
        <w:rPr>
          <w:rFonts w:ascii="Arial" w:eastAsia="Times New Roman" w:hAnsi="Arial" w:cs="Arial"/>
          <w:lang w:eastAsia="de-DE"/>
        </w:rPr>
        <w:lastRenderedPageBreak/>
        <w:t>Subventionsvorteils in einer dem Subventionszweck widersprechenden Weise künstlich geschaffen werden.</w:t>
      </w:r>
    </w:p>
    <w:p w:rsidR="00D37360" w:rsidRPr="003B53C6" w:rsidRDefault="00D37360" w:rsidP="003B53C6">
      <w:pPr>
        <w:spacing w:before="240" w:line="360" w:lineRule="auto"/>
        <w:jc w:val="both"/>
        <w:rPr>
          <w:rFonts w:ascii="Arial" w:hAnsi="Arial" w:cs="Arial"/>
          <w:b/>
          <w:sz w:val="22"/>
          <w:szCs w:val="22"/>
        </w:rPr>
      </w:pPr>
      <w:r w:rsidRPr="003B53C6">
        <w:rPr>
          <w:rFonts w:ascii="Arial" w:hAnsi="Arial" w:cs="Arial"/>
          <w:b/>
          <w:sz w:val="22"/>
          <w:szCs w:val="22"/>
        </w:rPr>
        <w:t>§ 5 Herausgabe von Subventionsvorteilen</w:t>
      </w:r>
    </w:p>
    <w:p w:rsidR="00D37360" w:rsidRPr="00A13F12" w:rsidRDefault="00D37360" w:rsidP="003B53C6">
      <w:pPr>
        <w:pStyle w:val="Listenabsatz"/>
        <w:numPr>
          <w:ilvl w:val="0"/>
          <w:numId w:val="8"/>
        </w:numPr>
        <w:spacing w:after="240" w:line="240" w:lineRule="auto"/>
        <w:contextualSpacing w:val="0"/>
        <w:rPr>
          <w:rFonts w:ascii="Arial" w:eastAsia="Times New Roman" w:hAnsi="Arial" w:cs="Arial"/>
          <w:lang w:eastAsia="de-DE"/>
        </w:rPr>
      </w:pPr>
      <w:r w:rsidRPr="00A13F12">
        <w:rPr>
          <w:rFonts w:ascii="Arial" w:eastAsia="Times New Roman" w:hAnsi="Arial" w:cs="Arial"/>
          <w:lang w:eastAsia="de-DE"/>
        </w:rPr>
        <w:t>Wer einen Gegenstand oder eine Geldleistung, deren Verwendung durch Gesetz oder durch den Subventionsgeber im Hinblick auf eine Subvention beschränkt ist, entgegen der Verwendungsbeschränkung verwendet und dadurch einen Vorteil erlangt, hat diesen dem Subventionsgeber herauszugeben.</w:t>
      </w:r>
    </w:p>
    <w:p w:rsidR="00D37360" w:rsidRPr="00A13F12" w:rsidRDefault="00D37360" w:rsidP="005830F6">
      <w:pPr>
        <w:pStyle w:val="Listenabsatz"/>
        <w:numPr>
          <w:ilvl w:val="0"/>
          <w:numId w:val="8"/>
        </w:numPr>
        <w:spacing w:before="240" w:after="240" w:line="240" w:lineRule="auto"/>
        <w:contextualSpacing w:val="0"/>
        <w:rPr>
          <w:rFonts w:ascii="Arial" w:eastAsia="Times New Roman" w:hAnsi="Arial" w:cs="Arial"/>
          <w:lang w:eastAsia="de-DE"/>
        </w:rPr>
      </w:pPr>
      <w:r w:rsidRPr="00A13F12">
        <w:rPr>
          <w:rFonts w:ascii="Arial" w:eastAsia="Times New Roman" w:hAnsi="Arial" w:cs="Arial"/>
          <w:lang w:eastAsia="de-DE"/>
        </w:rPr>
        <w:t>Für den Umfang der Herausgabe gelten die Vorschriften des Bürgerlichen Gesetzbuches über die Herausgabe einer ungerechtfertigten Bereicherung entsprechend. Auf den Wegfall der Bereicherung kann sich der Herausgabepflichtige nicht berufen, soweit er die Verwendungsbeschränkung kannte oder infolge grober Fahrlässigkeit nicht kannte.</w:t>
      </w:r>
    </w:p>
    <w:p w:rsidR="00D37360" w:rsidRPr="003B53C6" w:rsidRDefault="00D37360" w:rsidP="003B53C6">
      <w:pPr>
        <w:pStyle w:val="Listenabsatz"/>
        <w:numPr>
          <w:ilvl w:val="0"/>
          <w:numId w:val="8"/>
        </w:numPr>
        <w:spacing w:before="240" w:after="240" w:line="-360" w:lineRule="auto"/>
        <w:contextualSpacing w:val="0"/>
        <w:rPr>
          <w:rFonts w:ascii="Arial" w:hAnsi="Arial"/>
        </w:rPr>
      </w:pPr>
      <w:r w:rsidRPr="003B53C6">
        <w:rPr>
          <w:rFonts w:ascii="Arial" w:eastAsia="Times New Roman" w:hAnsi="Arial" w:cs="Arial"/>
          <w:lang w:eastAsia="de-DE"/>
        </w:rPr>
        <w:t>Besonders bestehende Verpflichtungen zur Herausgabe bleiben unberührt.</w:t>
      </w:r>
    </w:p>
    <w:sectPr w:rsidR="00D37360" w:rsidRPr="003B53C6" w:rsidSect="00BB104B">
      <w:headerReference w:type="default" r:id="rId7"/>
      <w:footnotePr>
        <w:numRestart w:val="eachSect"/>
      </w:footnotePr>
      <w:pgSz w:w="11907" w:h="16840" w:code="9"/>
      <w:pgMar w:top="1134" w:right="1298" w:bottom="1134" w:left="1253" w:header="397" w:footer="397" w:gutter="0"/>
      <w:cols w:space="70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292" w:rsidRDefault="00A04292">
      <w:r>
        <w:separator/>
      </w:r>
    </w:p>
  </w:endnote>
  <w:endnote w:type="continuationSeparator" w:id="0">
    <w:p w:rsidR="00A04292" w:rsidRDefault="00A0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bicPS">
    <w:altName w:val="Arial"/>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292" w:rsidRDefault="00A04292">
      <w:r>
        <w:separator/>
      </w:r>
    </w:p>
  </w:footnote>
  <w:footnote w:type="continuationSeparator" w:id="0">
    <w:p w:rsidR="00A04292" w:rsidRDefault="00A04292">
      <w:r>
        <w:continuationSeparator/>
      </w:r>
    </w:p>
  </w:footnote>
  <w:footnote w:id="1">
    <w:p w:rsidR="00D37360" w:rsidRPr="001F311D" w:rsidRDefault="00D37360" w:rsidP="00D37360">
      <w:pPr>
        <w:pStyle w:val="Funotentext"/>
        <w:rPr>
          <w:rFonts w:ascii="Arial" w:hAnsi="Arial" w:cs="Arial"/>
          <w:sz w:val="18"/>
          <w:szCs w:val="18"/>
        </w:rPr>
      </w:pPr>
      <w:r w:rsidRPr="001F311D">
        <w:rPr>
          <w:rStyle w:val="Funotenzeichen"/>
          <w:rFonts w:ascii="Arial" w:hAnsi="Arial" w:cs="Arial"/>
          <w:szCs w:val="18"/>
        </w:rPr>
        <w:footnoteRef/>
      </w:r>
      <w:r w:rsidRPr="001F311D">
        <w:rPr>
          <w:rFonts w:ascii="Arial" w:hAnsi="Arial" w:cs="Arial"/>
          <w:sz w:val="18"/>
          <w:szCs w:val="18"/>
        </w:rPr>
        <w:t xml:space="preserve"> § 263 Abs. 5: Mit Freiheitsstrafe von einem Jahr bis zu zehn Jahren, in minder schweren Fällen mit</w:t>
      </w:r>
    </w:p>
    <w:p w:rsidR="00D37360" w:rsidRPr="001F311D" w:rsidRDefault="00D37360" w:rsidP="00D37360">
      <w:pPr>
        <w:pStyle w:val="Funotentext"/>
        <w:rPr>
          <w:rFonts w:ascii="Arial" w:hAnsi="Arial" w:cs="Arial"/>
          <w:sz w:val="18"/>
          <w:szCs w:val="18"/>
        </w:rPr>
      </w:pPr>
      <w:r w:rsidRPr="001F311D">
        <w:rPr>
          <w:rFonts w:ascii="Arial" w:hAnsi="Arial" w:cs="Arial"/>
          <w:sz w:val="18"/>
          <w:szCs w:val="18"/>
        </w:rPr>
        <w:t>Freiheitsstrafe von sechs Monaten bis zu fünf J</w:t>
      </w:r>
      <w:r>
        <w:rPr>
          <w:rFonts w:ascii="Arial" w:hAnsi="Arial" w:cs="Arial"/>
          <w:sz w:val="18"/>
          <w:szCs w:val="18"/>
        </w:rPr>
        <w:t>ahren wird bestraft, wer den Bet</w:t>
      </w:r>
      <w:r w:rsidRPr="001F311D">
        <w:rPr>
          <w:rFonts w:ascii="Arial" w:hAnsi="Arial" w:cs="Arial"/>
          <w:sz w:val="18"/>
          <w:szCs w:val="18"/>
        </w:rPr>
        <w:t>ru</w:t>
      </w:r>
      <w:r>
        <w:rPr>
          <w:rFonts w:ascii="Arial" w:hAnsi="Arial" w:cs="Arial"/>
          <w:sz w:val="18"/>
          <w:szCs w:val="18"/>
        </w:rPr>
        <w:t>g</w:t>
      </w:r>
      <w:r w:rsidRPr="001F311D">
        <w:rPr>
          <w:rFonts w:ascii="Arial" w:hAnsi="Arial" w:cs="Arial"/>
          <w:sz w:val="18"/>
          <w:szCs w:val="18"/>
        </w:rPr>
        <w:t xml:space="preserve"> als Mitglied einer Bande,</w:t>
      </w:r>
    </w:p>
    <w:p w:rsidR="00D37360" w:rsidRPr="001F311D" w:rsidRDefault="00D37360" w:rsidP="00D37360">
      <w:pPr>
        <w:pStyle w:val="Funotentext"/>
        <w:rPr>
          <w:rFonts w:ascii="Arial" w:hAnsi="Arial" w:cs="Arial"/>
          <w:sz w:val="18"/>
          <w:szCs w:val="18"/>
        </w:rPr>
      </w:pPr>
      <w:r w:rsidRPr="001F311D">
        <w:rPr>
          <w:rFonts w:ascii="Arial" w:hAnsi="Arial" w:cs="Arial"/>
          <w:sz w:val="18"/>
          <w:szCs w:val="18"/>
        </w:rPr>
        <w:t>die sich zur fortgesetzten Begehung von Straftaten nach den §§ 263 bis 264 oder 267 bis 269 verbunden hat,</w:t>
      </w:r>
    </w:p>
    <w:p w:rsidR="00D37360" w:rsidRDefault="00D37360" w:rsidP="00D37360">
      <w:pPr>
        <w:pStyle w:val="Funotentext"/>
      </w:pPr>
      <w:r w:rsidRPr="001F311D">
        <w:rPr>
          <w:rFonts w:ascii="Arial" w:hAnsi="Arial" w:cs="Arial"/>
          <w:sz w:val="18"/>
          <w:szCs w:val="18"/>
        </w:rPr>
        <w:t>gewerbsmäßig begeht.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91372"/>
      <w:docPartObj>
        <w:docPartGallery w:val="Page Numbers (Top of Page)"/>
        <w:docPartUnique/>
      </w:docPartObj>
    </w:sdtPr>
    <w:sdtEndPr>
      <w:rPr>
        <w:rFonts w:ascii="Arial" w:hAnsi="Arial" w:cs="Arial"/>
      </w:rPr>
    </w:sdtEndPr>
    <w:sdtContent>
      <w:p w:rsidR="00D460CF" w:rsidRPr="00D460CF" w:rsidRDefault="00D460CF">
        <w:pPr>
          <w:pStyle w:val="Kopfzeile"/>
          <w:jc w:val="center"/>
          <w:rPr>
            <w:rFonts w:ascii="Arial" w:hAnsi="Arial" w:cs="Arial"/>
          </w:rPr>
        </w:pPr>
        <w:r w:rsidRPr="00D460CF">
          <w:rPr>
            <w:rFonts w:ascii="Arial" w:hAnsi="Arial" w:cs="Arial"/>
          </w:rPr>
          <w:fldChar w:fldCharType="begin"/>
        </w:r>
        <w:r w:rsidRPr="00D460CF">
          <w:rPr>
            <w:rFonts w:ascii="Arial" w:hAnsi="Arial" w:cs="Arial"/>
          </w:rPr>
          <w:instrText>PAGE   \* MERGEFORMAT</w:instrText>
        </w:r>
        <w:r w:rsidRPr="00D460CF">
          <w:rPr>
            <w:rFonts w:ascii="Arial" w:hAnsi="Arial" w:cs="Arial"/>
          </w:rPr>
          <w:fldChar w:fldCharType="separate"/>
        </w:r>
        <w:r w:rsidR="00791110">
          <w:rPr>
            <w:rFonts w:ascii="Arial" w:hAnsi="Arial" w:cs="Arial"/>
            <w:noProof/>
          </w:rPr>
          <w:t>2</w:t>
        </w:r>
        <w:r w:rsidRPr="00D460CF">
          <w:rPr>
            <w:rFonts w:ascii="Arial" w:hAnsi="Arial" w:cs="Arial"/>
          </w:rPr>
          <w:fldChar w:fldCharType="end"/>
        </w:r>
      </w:p>
    </w:sdtContent>
  </w:sdt>
  <w:p w:rsidR="00D460CF" w:rsidRDefault="00D460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CB9"/>
    <w:multiLevelType w:val="hybridMultilevel"/>
    <w:tmpl w:val="185CED24"/>
    <w:lvl w:ilvl="0" w:tplc="9E829074">
      <w:start w:val="1"/>
      <w:numFmt w:val="decimal"/>
      <w:lvlText w:val="%1."/>
      <w:lvlJc w:val="left"/>
      <w:pPr>
        <w:ind w:left="709" w:hanging="352"/>
      </w:pPr>
      <w:rPr>
        <w:rFonts w:hint="default"/>
      </w:r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1" w15:restartNumberingAfterBreak="0">
    <w:nsid w:val="21696589"/>
    <w:multiLevelType w:val="hybridMultilevel"/>
    <w:tmpl w:val="049E81CC"/>
    <w:lvl w:ilvl="0" w:tplc="938613F6">
      <w:start w:val="1"/>
      <w:numFmt w:val="decimal"/>
      <w:lvlText w:val="%1."/>
      <w:lvlJc w:val="left"/>
      <w:pPr>
        <w:ind w:left="709" w:hanging="352"/>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15:restartNumberingAfterBreak="0">
    <w:nsid w:val="395373F9"/>
    <w:multiLevelType w:val="hybridMultilevel"/>
    <w:tmpl w:val="529CB4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F32073C"/>
    <w:multiLevelType w:val="hybridMultilevel"/>
    <w:tmpl w:val="93DAB1D2"/>
    <w:lvl w:ilvl="0" w:tplc="629A4578">
      <w:start w:val="1"/>
      <w:numFmt w:val="decimal"/>
      <w:lvlText w:val="%1."/>
      <w:lvlJc w:val="left"/>
      <w:pPr>
        <w:ind w:left="706" w:hanging="349"/>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0F30B77"/>
    <w:multiLevelType w:val="hybridMultilevel"/>
    <w:tmpl w:val="7F8E0DAC"/>
    <w:lvl w:ilvl="0" w:tplc="4B488DEE">
      <w:start w:val="1"/>
      <w:numFmt w:val="decimal"/>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9680095"/>
    <w:multiLevelType w:val="hybridMultilevel"/>
    <w:tmpl w:val="7F8E0DAC"/>
    <w:lvl w:ilvl="0" w:tplc="4B488DEE">
      <w:start w:val="1"/>
      <w:numFmt w:val="decimal"/>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304FFB"/>
    <w:multiLevelType w:val="hybridMultilevel"/>
    <w:tmpl w:val="39A00714"/>
    <w:lvl w:ilvl="0" w:tplc="F0A234D4">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7" w15:restartNumberingAfterBreak="0">
    <w:nsid w:val="795329DC"/>
    <w:multiLevelType w:val="hybridMultilevel"/>
    <w:tmpl w:val="638A12B6"/>
    <w:lvl w:ilvl="0" w:tplc="C4F43F94">
      <w:start w:val="1"/>
      <w:numFmt w:val="decimal"/>
      <w:lvlText w:val="%1."/>
      <w:lvlJc w:val="left"/>
      <w:pPr>
        <w:ind w:left="709" w:hanging="349"/>
      </w:pPr>
      <w:rPr>
        <w:rFonts w:hint="default"/>
      </w:rPr>
    </w:lvl>
    <w:lvl w:ilvl="1" w:tplc="04070019" w:tentative="1">
      <w:start w:val="1"/>
      <w:numFmt w:val="lowerLetter"/>
      <w:lvlText w:val="%2."/>
      <w:lvlJc w:val="left"/>
      <w:pPr>
        <w:ind w:left="2850" w:hanging="360"/>
      </w:pPr>
    </w:lvl>
    <w:lvl w:ilvl="2" w:tplc="0407001B" w:tentative="1">
      <w:start w:val="1"/>
      <w:numFmt w:val="lowerRoman"/>
      <w:lvlText w:val="%3."/>
      <w:lvlJc w:val="right"/>
      <w:pPr>
        <w:ind w:left="3570" w:hanging="180"/>
      </w:pPr>
    </w:lvl>
    <w:lvl w:ilvl="3" w:tplc="0407000F" w:tentative="1">
      <w:start w:val="1"/>
      <w:numFmt w:val="decimal"/>
      <w:lvlText w:val="%4."/>
      <w:lvlJc w:val="left"/>
      <w:pPr>
        <w:ind w:left="4290" w:hanging="360"/>
      </w:pPr>
    </w:lvl>
    <w:lvl w:ilvl="4" w:tplc="04070019" w:tentative="1">
      <w:start w:val="1"/>
      <w:numFmt w:val="lowerLetter"/>
      <w:lvlText w:val="%5."/>
      <w:lvlJc w:val="left"/>
      <w:pPr>
        <w:ind w:left="5010" w:hanging="360"/>
      </w:pPr>
    </w:lvl>
    <w:lvl w:ilvl="5" w:tplc="0407001B" w:tentative="1">
      <w:start w:val="1"/>
      <w:numFmt w:val="lowerRoman"/>
      <w:lvlText w:val="%6."/>
      <w:lvlJc w:val="right"/>
      <w:pPr>
        <w:ind w:left="5730" w:hanging="180"/>
      </w:pPr>
    </w:lvl>
    <w:lvl w:ilvl="6" w:tplc="0407000F" w:tentative="1">
      <w:start w:val="1"/>
      <w:numFmt w:val="decimal"/>
      <w:lvlText w:val="%7."/>
      <w:lvlJc w:val="left"/>
      <w:pPr>
        <w:ind w:left="6450" w:hanging="360"/>
      </w:pPr>
    </w:lvl>
    <w:lvl w:ilvl="7" w:tplc="04070019" w:tentative="1">
      <w:start w:val="1"/>
      <w:numFmt w:val="lowerLetter"/>
      <w:lvlText w:val="%8."/>
      <w:lvlJc w:val="left"/>
      <w:pPr>
        <w:ind w:left="7170" w:hanging="360"/>
      </w:pPr>
    </w:lvl>
    <w:lvl w:ilvl="8" w:tplc="0407001B" w:tentative="1">
      <w:start w:val="1"/>
      <w:numFmt w:val="lowerRoman"/>
      <w:lvlText w:val="%9."/>
      <w:lvlJc w:val="right"/>
      <w:pPr>
        <w:ind w:left="7890"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QD2KKDxtyyjwTylpEpdLfnI5L5vYdoenHOiN40I2kwnL6B1swO9x8FRqlpid7YTIS3u5o7pYW7Ajx8cczaPX4Q==" w:salt="5A6vm8Kvbf2yI5JBb75V8w=="/>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92"/>
    <w:rsid w:val="000A51FC"/>
    <w:rsid w:val="003B53C6"/>
    <w:rsid w:val="0041075F"/>
    <w:rsid w:val="004E2818"/>
    <w:rsid w:val="005830F6"/>
    <w:rsid w:val="005D692B"/>
    <w:rsid w:val="006F1B7D"/>
    <w:rsid w:val="00791110"/>
    <w:rsid w:val="00833497"/>
    <w:rsid w:val="009D2D77"/>
    <w:rsid w:val="009F669E"/>
    <w:rsid w:val="00A04292"/>
    <w:rsid w:val="00A13F12"/>
    <w:rsid w:val="00BB104B"/>
    <w:rsid w:val="00D37360"/>
    <w:rsid w:val="00D460CF"/>
    <w:rsid w:val="00DE69E5"/>
    <w:rsid w:val="00F85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670A50"/>
  <w15:chartTrackingRefBased/>
  <w15:docId w15:val="{9E667B07-EE2F-4226-B462-C905DE93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style>
  <w:style w:type="paragraph" w:styleId="berschrift1">
    <w:name w:val="heading 1"/>
    <w:basedOn w:val="Standard"/>
    <w:next w:val="Standard"/>
    <w:qFormat/>
    <w:pPr>
      <w:keepNext/>
      <w:spacing w:line="-360" w:lineRule="auto"/>
      <w:outlineLvl w:val="0"/>
    </w:pPr>
    <w:rPr>
      <w:rFonts w:ascii="Arial" w:hAnsi="Arial"/>
      <w:b/>
      <w:sz w:val="22"/>
    </w:rPr>
  </w:style>
  <w:style w:type="paragraph" w:styleId="berschrift2">
    <w:name w:val="heading 2"/>
    <w:basedOn w:val="Standard"/>
    <w:next w:val="Standard"/>
    <w:qFormat/>
    <w:pPr>
      <w:keepNext/>
      <w:tabs>
        <w:tab w:val="left" w:pos="426"/>
      </w:tabs>
      <w:spacing w:line="-360" w:lineRule="auto"/>
      <w:ind w:left="426" w:hanging="426"/>
      <w:outlineLvl w:val="1"/>
    </w:pPr>
    <w:rPr>
      <w:rFonts w:ascii="Arial" w:hAnsi="Arial"/>
      <w:b/>
      <w:sz w:val="22"/>
    </w:rPr>
  </w:style>
  <w:style w:type="paragraph" w:styleId="berschrift3">
    <w:name w:val="heading 3"/>
    <w:basedOn w:val="Standard"/>
    <w:next w:val="Standard"/>
    <w:qFormat/>
    <w:pPr>
      <w:keepNext/>
      <w:spacing w:line="-240" w:lineRule="auto"/>
      <w:ind w:left="5670"/>
      <w:outlineLvl w:val="2"/>
    </w:pPr>
    <w:rPr>
      <w:rFonts w:ascii="Arial" w:hAnsi="Arial"/>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semiHidden/>
    <w:rPr>
      <w:rFonts w:ascii="CubicPS" w:hAnsi="CubicPS"/>
      <w:position w:val="6"/>
      <w:sz w:val="18"/>
    </w:rPr>
  </w:style>
  <w:style w:type="paragraph" w:customStyle="1" w:styleId="Beurteilung-linkeSpalte">
    <w:name w:val="Beurteilung-linke Spalte"/>
    <w:pPr>
      <w:widowControl w:val="0"/>
      <w:spacing w:before="240" w:line="-240" w:lineRule="auto"/>
      <w:ind w:right="4608"/>
    </w:pPr>
    <w:rPr>
      <w:rFonts w:ascii="Courier" w:hAnsi="Courier"/>
    </w:rPr>
  </w:style>
  <w:style w:type="paragraph" w:customStyle="1" w:styleId="Betreff">
    <w:name w:val="Betreff"/>
    <w:pPr>
      <w:widowControl w:val="0"/>
      <w:tabs>
        <w:tab w:val="left" w:pos="720"/>
      </w:tabs>
      <w:ind w:left="1440" w:hanging="1008"/>
    </w:pPr>
    <w:rPr>
      <w:rFonts w:ascii="Courier" w:hAnsi="Courier"/>
      <w:sz w:val="24"/>
    </w:rPr>
  </w:style>
  <w:style w:type="paragraph" w:customStyle="1" w:styleId="BezugAnlage">
    <w:name w:val="Bezug.Anlage"/>
    <w:pPr>
      <w:widowControl w:val="0"/>
      <w:tabs>
        <w:tab w:val="left" w:pos="720"/>
      </w:tabs>
      <w:spacing w:before="120" w:line="-240" w:lineRule="auto"/>
      <w:ind w:left="1440" w:hanging="1008"/>
    </w:pPr>
    <w:rPr>
      <w:rFonts w:ascii="Courier" w:hAnsi="Courier"/>
      <w:sz w:val="24"/>
    </w:rPr>
  </w:style>
  <w:style w:type="paragraph" w:customStyle="1" w:styleId="Beurteilung-rechteSpalte">
    <w:name w:val="Beurteilung-rechte Spalte"/>
    <w:pPr>
      <w:widowControl w:val="0"/>
      <w:spacing w:before="240" w:line="-240" w:lineRule="auto"/>
      <w:ind w:left="5184"/>
    </w:pPr>
    <w:rPr>
      <w:rFonts w:ascii="Courier" w:hAnsi="Courier"/>
      <w:i/>
    </w:rPr>
  </w:style>
  <w:style w:type="paragraph" w:customStyle="1" w:styleId="hier">
    <w:name w:val="hier"/>
    <w:pPr>
      <w:widowControl w:val="0"/>
      <w:tabs>
        <w:tab w:val="left" w:pos="2160"/>
      </w:tabs>
      <w:ind w:left="2304" w:hanging="864"/>
    </w:pPr>
    <w:rPr>
      <w:rFonts w:ascii="Courier" w:hAnsi="Courier"/>
      <w:sz w:val="24"/>
    </w:rPr>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tabs>
        <w:tab w:val="left" w:pos="709"/>
      </w:tabs>
      <w:spacing w:line="-360" w:lineRule="auto"/>
      <w:ind w:left="709" w:hanging="283"/>
    </w:pPr>
    <w:rPr>
      <w:rFonts w:ascii="Arial" w:hAnsi="Arial"/>
      <w:sz w:val="22"/>
    </w:rPr>
  </w:style>
  <w:style w:type="paragraph" w:styleId="Textkrper-Einzug2">
    <w:name w:val="Body Text Indent 2"/>
    <w:basedOn w:val="Standard"/>
    <w:semiHidden/>
    <w:pPr>
      <w:tabs>
        <w:tab w:val="left" w:pos="426"/>
      </w:tabs>
      <w:spacing w:line="-360" w:lineRule="auto"/>
      <w:ind w:left="426" w:hanging="426"/>
    </w:pPr>
    <w:rPr>
      <w:rFonts w:ascii="Arial" w:hAnsi="Arial"/>
      <w:sz w:val="22"/>
    </w:rPr>
  </w:style>
  <w:style w:type="paragraph" w:styleId="Funotentext">
    <w:name w:val="footnote text"/>
    <w:basedOn w:val="Standard"/>
    <w:link w:val="FunotentextZchn"/>
    <w:uiPriority w:val="99"/>
    <w:semiHidden/>
  </w:style>
  <w:style w:type="paragraph" w:styleId="Listenabsatz">
    <w:name w:val="List Paragraph"/>
    <w:basedOn w:val="Standard"/>
    <w:uiPriority w:val="34"/>
    <w:qFormat/>
    <w:rsid w:val="00D37360"/>
    <w:pPr>
      <w:widowControl/>
      <w:spacing w:after="160" w:line="259" w:lineRule="auto"/>
      <w:ind w:left="720"/>
      <w:contextualSpacing/>
    </w:pPr>
    <w:rPr>
      <w:rFonts w:ascii="Calibri" w:eastAsia="Calibri" w:hAnsi="Calibri"/>
      <w:sz w:val="22"/>
      <w:szCs w:val="22"/>
      <w:lang w:eastAsia="en-US"/>
    </w:rPr>
  </w:style>
  <w:style w:type="character" w:styleId="Kommentarzeichen">
    <w:name w:val="annotation reference"/>
    <w:uiPriority w:val="99"/>
    <w:semiHidden/>
    <w:unhideWhenUsed/>
    <w:rsid w:val="00D37360"/>
    <w:rPr>
      <w:sz w:val="16"/>
      <w:szCs w:val="16"/>
    </w:rPr>
  </w:style>
  <w:style w:type="paragraph" w:styleId="Kommentartext">
    <w:name w:val="annotation text"/>
    <w:basedOn w:val="Standard"/>
    <w:link w:val="KommentartextZchn"/>
    <w:uiPriority w:val="99"/>
    <w:semiHidden/>
    <w:unhideWhenUsed/>
    <w:rsid w:val="00D37360"/>
    <w:pPr>
      <w:widowControl/>
      <w:spacing w:after="160"/>
    </w:pPr>
    <w:rPr>
      <w:rFonts w:ascii="Calibri" w:eastAsia="Calibri" w:hAnsi="Calibri"/>
      <w:lang w:eastAsia="en-US"/>
    </w:rPr>
  </w:style>
  <w:style w:type="character" w:customStyle="1" w:styleId="KommentartextZchn">
    <w:name w:val="Kommentartext Zchn"/>
    <w:basedOn w:val="Absatz-Standardschriftart"/>
    <w:link w:val="Kommentartext"/>
    <w:uiPriority w:val="99"/>
    <w:semiHidden/>
    <w:rsid w:val="00D37360"/>
    <w:rPr>
      <w:rFonts w:ascii="Calibri" w:eastAsia="Calibri" w:hAnsi="Calibri"/>
      <w:lang w:eastAsia="en-US"/>
    </w:rPr>
  </w:style>
  <w:style w:type="character" w:customStyle="1" w:styleId="FunotentextZchn">
    <w:name w:val="Fußnotentext Zchn"/>
    <w:link w:val="Funotentext"/>
    <w:uiPriority w:val="99"/>
    <w:semiHidden/>
    <w:rsid w:val="00D37360"/>
  </w:style>
  <w:style w:type="paragraph" w:styleId="Sprechblasentext">
    <w:name w:val="Balloon Text"/>
    <w:basedOn w:val="Standard"/>
    <w:link w:val="SprechblasentextZchn"/>
    <w:uiPriority w:val="99"/>
    <w:semiHidden/>
    <w:unhideWhenUsed/>
    <w:rsid w:val="00D3736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7360"/>
    <w:rPr>
      <w:rFonts w:ascii="Segoe UI" w:hAnsi="Segoe UI" w:cs="Segoe UI"/>
      <w:sz w:val="18"/>
      <w:szCs w:val="18"/>
    </w:rPr>
  </w:style>
  <w:style w:type="character" w:customStyle="1" w:styleId="FuzeileZchn">
    <w:name w:val="Fußzeile Zchn"/>
    <w:basedOn w:val="Absatz-Standardschriftart"/>
    <w:link w:val="Fuzeile"/>
    <w:uiPriority w:val="99"/>
    <w:rsid w:val="005830F6"/>
  </w:style>
  <w:style w:type="character" w:customStyle="1" w:styleId="KopfzeileZchn">
    <w:name w:val="Kopfzeile Zchn"/>
    <w:basedOn w:val="Absatz-Standardschriftart"/>
    <w:link w:val="Kopfzeile"/>
    <w:uiPriority w:val="99"/>
    <w:rsid w:val="00D4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Vordruck 0116/03.99, A n l a g e   A</vt:lpstr>
    </vt:vector>
  </TitlesOfParts>
  <Company>BMB+F</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0116/03.99, A n l a g e   A</dc:title>
  <dc:subject/>
  <dc:creator>Linda Kohrt</dc:creator>
  <cp:keywords/>
  <cp:lastModifiedBy>Chi-Yung Quach</cp:lastModifiedBy>
  <cp:revision>2</cp:revision>
  <cp:lastPrinted>2000-02-23T11:14:00Z</cp:lastPrinted>
  <dcterms:created xsi:type="dcterms:W3CDTF">2022-11-01T13:39:00Z</dcterms:created>
  <dcterms:modified xsi:type="dcterms:W3CDTF">2022-12-07T16:13:00Z</dcterms:modified>
  <cp:contentStatus/>
</cp:coreProperties>
</file>