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5300" w14:textId="77777777" w:rsidR="00B65456" w:rsidRDefault="00000380" w:rsidP="00000380">
      <w:pPr>
        <w:spacing w:line="-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Anlage B</w:t>
      </w:r>
    </w:p>
    <w:p w14:paraId="187C1260" w14:textId="77777777" w:rsidR="00B65456" w:rsidRDefault="00000380" w:rsidP="00000380">
      <w:pPr>
        <w:spacing w:before="120"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Schreiben des BM</w:t>
      </w:r>
      <w:r w:rsidR="008F2DC6">
        <w:rPr>
          <w:rFonts w:ascii="Arial" w:hAnsi="Arial"/>
          <w:sz w:val="22"/>
        </w:rPr>
        <w:t>WK</w:t>
      </w:r>
    </w:p>
    <w:p w14:paraId="6AD9AB83" w14:textId="73E5413E" w:rsidR="00B65456" w:rsidRDefault="00B65456" w:rsidP="00000380">
      <w:pPr>
        <w:spacing w:line="-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vom </w:t>
      </w:r>
      <w:bookmarkStart w:id="0" w:name="Datum_BMBF"/>
      <w:r w:rsidR="004324C7">
        <w:rPr>
          <w:rFonts w:ascii="Arial" w:hAnsi="Arial"/>
          <w:sz w:val="22"/>
        </w:rPr>
        <w:t>01.01.2023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vanish/>
          <w:sz w:val="22"/>
        </w:rPr>
        <w:t>                                   </w:t>
      </w:r>
      <w:bookmarkEnd w:id="0"/>
      <w:r>
        <w:rPr>
          <w:rFonts w:ascii="Arial" w:hAnsi="Arial"/>
          <w:sz w:val="22"/>
        </w:rPr>
        <w:t>,</w:t>
      </w:r>
    </w:p>
    <w:p w14:paraId="3B95BB19" w14:textId="77777777" w:rsidR="00B65456" w:rsidRDefault="00000380" w:rsidP="00000380">
      <w:pPr>
        <w:tabs>
          <w:tab w:val="right" w:pos="8364"/>
        </w:tabs>
        <w:spacing w:before="120" w:after="720" w:line="240" w:lineRule="exac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Förderkennzeichen:</w:t>
      </w:r>
      <w:bookmarkStart w:id="1" w:name="_GoBack"/>
      <w:bookmarkEnd w:id="1"/>
    </w:p>
    <w:p w14:paraId="7A378752" w14:textId="77777777" w:rsidR="00E727DB" w:rsidRPr="00E727DB" w:rsidRDefault="00E727DB" w:rsidP="00E727DB">
      <w:pPr>
        <w:jc w:val="both"/>
        <w:rPr>
          <w:rFonts w:ascii="Arial" w:hAnsi="Arial" w:cs="Arial"/>
          <w:b/>
          <w:sz w:val="22"/>
        </w:rPr>
      </w:pPr>
      <w:r w:rsidRPr="00E727DB">
        <w:rPr>
          <w:rFonts w:ascii="Arial" w:hAnsi="Arial" w:cs="Arial"/>
          <w:b/>
          <w:sz w:val="22"/>
        </w:rPr>
        <w:t>Mitteilung gemäß § 2 Subventionsgesetz über die subventionserheblichen Tatsachen</w:t>
      </w:r>
    </w:p>
    <w:p w14:paraId="3F4F3B71" w14:textId="77777777" w:rsidR="00E727DB" w:rsidRPr="00E727DB" w:rsidRDefault="00E727DB" w:rsidP="00E727DB">
      <w:pPr>
        <w:spacing w:before="360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im Sinne des § 264 des Strafgesetzbuches sind folgende Tatsachen:</w:t>
      </w:r>
    </w:p>
    <w:p w14:paraId="5DA83232" w14:textId="77777777" w:rsidR="00E727DB" w:rsidRPr="00E727DB" w:rsidRDefault="00E727DB" w:rsidP="00E727DB">
      <w:pPr>
        <w:pStyle w:val="Listenabsatz"/>
        <w:numPr>
          <w:ilvl w:val="0"/>
          <w:numId w:val="9"/>
        </w:numPr>
        <w:spacing w:before="240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 des Antragstellers / der Antragstellerin, die für die Bewilligung und Gewährung einer Zuwendung erheblich sind:</w:t>
      </w:r>
    </w:p>
    <w:p w14:paraId="189A8155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>zu Namen, ausführender Stelle, Rechtsform, Sitz, Geschäftsbetrieb, amtlichem Registereintrag des Antragstellers / der Antragstellerin und eventueller weiterer Partnerorganisationen,</w:t>
      </w:r>
    </w:p>
    <w:p w14:paraId="7A605332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>in den Geschäftsunterlagen (Bilanzen, Gewinn- und Verlustrechnungen, Jahresabschlüsse einschließlich Anhänge sowie Lage- und Geschäftsberichte) soweit angefordert,</w:t>
      </w:r>
    </w:p>
    <w:p w14:paraId="5C64A3A4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>im Gesamtfinanzierungsplan</w:t>
      </w:r>
      <w:r w:rsidR="006D1C77">
        <w:rPr>
          <w:rFonts w:cs="Arial"/>
          <w:lang w:eastAsia="de-DE"/>
        </w:rPr>
        <w:t xml:space="preserve"> / in der Gesamtvorkalkulation</w:t>
      </w:r>
      <w:r w:rsidRPr="00E727DB">
        <w:rPr>
          <w:rFonts w:cs="Arial"/>
          <w:lang w:eastAsia="de-DE"/>
        </w:rPr>
        <w:t xml:space="preserve"> zur Berechnung der mit dem Zuwendungszweck zusammenhängenden Ausgaben und der Übersicht über die beabsichtigte Finanzierung sowie zur Berechtigung zum Vorsteuerabzug, </w:t>
      </w:r>
    </w:p>
    <w:p w14:paraId="1BE6BBCC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mit dem Vorhaben noch nicht begonnen wurde, </w:t>
      </w:r>
    </w:p>
    <w:p w14:paraId="7DBF4631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keine gesetzliche Verpflichtung oder behördliche Anordnung zur Durchführung der geplanten Maßnahme(n) besteht, </w:t>
      </w:r>
    </w:p>
    <w:p w14:paraId="2DF4B1C6" w14:textId="77777777" w:rsidR="00E727DB" w:rsidRPr="00E727DB" w:rsidRDefault="00E727DB" w:rsidP="00E727DB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E727DB">
        <w:rPr>
          <w:rFonts w:cs="Arial"/>
          <w:lang w:eastAsia="de-DE"/>
        </w:rPr>
        <w:t xml:space="preserve">dass für das Vorhaben keine weiteren Zuwendungen in Zusammenhang mit anderen Fördermaßnahmen des Bundes, der Länder oder der Europäischen Kommission beantragt, zugesagt oder gewährt wurden, </w:t>
      </w:r>
    </w:p>
    <w:p w14:paraId="1F54C908" w14:textId="77777777" w:rsidR="00E727DB" w:rsidRDefault="00E727DB" w:rsidP="00E727DB">
      <w:pPr>
        <w:pStyle w:val="KeinLeerraum"/>
        <w:numPr>
          <w:ilvl w:val="0"/>
          <w:numId w:val="10"/>
        </w:numPr>
        <w:ind w:left="714" w:hanging="357"/>
        <w:rPr>
          <w:rFonts w:cs="Arial"/>
          <w:lang w:eastAsia="de-DE"/>
        </w:rPr>
      </w:pPr>
      <w:r w:rsidRPr="00E727DB">
        <w:rPr>
          <w:rFonts w:cs="Arial"/>
          <w:lang w:eastAsia="de-DE"/>
        </w:rPr>
        <w:t>dass kein Insolvenzverfahren über sein Vermögen unmittelbar bevorsteht, beantragt oder eröffnet wurde bzw., dass der Inhaber des Antragstellers keine Vermögensauskunft nach § 807 der Zivilprozessordnung oder § 284 der Abgabenordnung von 1977 abgegeben hat oder zu deren Abgabe verpflichtet ist</w:t>
      </w:r>
      <w:r w:rsidR="008C4A4E">
        <w:rPr>
          <w:rFonts w:cs="Arial"/>
          <w:lang w:eastAsia="de-DE"/>
        </w:rPr>
        <w:t>,</w:t>
      </w:r>
    </w:p>
    <w:p w14:paraId="12B0F20E" w14:textId="77777777" w:rsidR="00400A62" w:rsidRPr="00400A62" w:rsidRDefault="00400A62" w:rsidP="00400A62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400A62">
        <w:rPr>
          <w:rFonts w:cs="Arial"/>
          <w:lang w:eastAsia="de-DE"/>
        </w:rPr>
        <w:t>die Investitionen oder die Übersicht über die Finanzierung des Vorhabens betreffen</w:t>
      </w:r>
      <w:r w:rsidR="008C4A4E">
        <w:rPr>
          <w:rFonts w:cs="Arial"/>
          <w:lang w:eastAsia="de-DE"/>
        </w:rPr>
        <w:t>,</w:t>
      </w:r>
    </w:p>
    <w:p w14:paraId="2942B4C4" w14:textId="77777777" w:rsidR="00400A62" w:rsidRPr="00400A62" w:rsidRDefault="00400A62" w:rsidP="008C4A4E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400A62">
        <w:rPr>
          <w:rFonts w:cs="Arial"/>
          <w:lang w:eastAsia="de-DE"/>
        </w:rPr>
        <w:t>in der Vorhabenbeschreibung</w:t>
      </w:r>
      <w:r>
        <w:rPr>
          <w:rFonts w:cs="Arial"/>
          <w:lang w:eastAsia="de-DE"/>
        </w:rPr>
        <w:t xml:space="preserve"> </w:t>
      </w:r>
      <w:r w:rsidRPr="00400A62">
        <w:rPr>
          <w:rFonts w:cs="Arial"/>
          <w:lang w:eastAsia="de-DE"/>
        </w:rPr>
        <w:t xml:space="preserve">(s. AZA - Vorhabenbezogene Daten / AZK - Vorhabenbezogene Daten) zu </w:t>
      </w:r>
    </w:p>
    <w:p w14:paraId="7F1D8716" w14:textId="77777777" w:rsidR="00400A62" w:rsidRPr="00400A62" w:rsidRDefault="00400A62" w:rsidP="00400A62">
      <w:pPr>
        <w:pStyle w:val="KeinLeerraum"/>
        <w:numPr>
          <w:ilvl w:val="1"/>
          <w:numId w:val="10"/>
        </w:numPr>
        <w:spacing w:after="0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Gesamtziel des Vorhabens,</w:t>
      </w:r>
    </w:p>
    <w:p w14:paraId="2AD44690" w14:textId="77777777" w:rsidR="00400A62" w:rsidRPr="00400A62" w:rsidRDefault="00400A62" w:rsidP="00400A62">
      <w:pPr>
        <w:pStyle w:val="KeinLeerraum"/>
        <w:numPr>
          <w:ilvl w:val="1"/>
          <w:numId w:val="10"/>
        </w:numPr>
        <w:spacing w:after="0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Wissenschaftliche und technische Arbeitsziele des Vorhabens,</w:t>
      </w:r>
    </w:p>
    <w:p w14:paraId="2CA3C79F" w14:textId="77777777" w:rsidR="00400A62" w:rsidRPr="00400A62" w:rsidRDefault="00400A62" w:rsidP="00400A62">
      <w:pPr>
        <w:pStyle w:val="KeinLeerraum"/>
        <w:numPr>
          <w:ilvl w:val="1"/>
          <w:numId w:val="10"/>
        </w:numPr>
        <w:spacing w:after="0"/>
        <w:rPr>
          <w:rFonts w:cs="Arial"/>
          <w:lang w:eastAsia="de-DE"/>
        </w:rPr>
      </w:pPr>
      <w:r w:rsidRPr="00400A62">
        <w:rPr>
          <w:rFonts w:cs="Arial"/>
          <w:lang w:eastAsia="de-DE"/>
        </w:rPr>
        <w:t>- Bisherige Arbeiten des Antragstellers,</w:t>
      </w:r>
    </w:p>
    <w:p w14:paraId="222DF947" w14:textId="77777777" w:rsidR="00400A62" w:rsidRPr="00400A62" w:rsidRDefault="00400A62" w:rsidP="00400A62">
      <w:pPr>
        <w:pStyle w:val="KeinLeerraum"/>
        <w:numPr>
          <w:ilvl w:val="1"/>
          <w:numId w:val="10"/>
        </w:numPr>
        <w:rPr>
          <w:rFonts w:cs="Arial"/>
          <w:lang w:eastAsia="de-DE"/>
        </w:rPr>
      </w:pPr>
      <w:r w:rsidRPr="00400A62">
        <w:rPr>
          <w:rFonts w:cs="Arial"/>
          <w:lang w:eastAsia="de-DE"/>
        </w:rPr>
        <w:t>- Verwertungsplan.</w:t>
      </w:r>
    </w:p>
    <w:p w14:paraId="58C0DC74" w14:textId="77777777" w:rsidR="00400A62" w:rsidRDefault="00400A62" w:rsidP="00400A62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>
        <w:rPr>
          <w:rFonts w:cs="Arial"/>
          <w:lang w:eastAsia="de-DE"/>
        </w:rPr>
        <w:t>zum</w:t>
      </w:r>
      <w:r w:rsidRPr="00400A62">
        <w:rPr>
          <w:rFonts w:cs="Arial"/>
          <w:lang w:eastAsia="de-DE"/>
        </w:rPr>
        <w:t xml:space="preserve"> Zeitpunkt des Vorhabenbeginns, zur Berechtigun</w:t>
      </w:r>
      <w:r>
        <w:rPr>
          <w:rFonts w:cs="Arial"/>
          <w:lang w:eastAsia="de-DE"/>
        </w:rPr>
        <w:t>g zum Vorsteuerabzug, zur ander</w:t>
      </w:r>
      <w:r w:rsidRPr="00400A62">
        <w:rPr>
          <w:rFonts w:cs="Arial"/>
          <w:lang w:eastAsia="de-DE"/>
        </w:rPr>
        <w:t>weitigen Finanzierung des Vorhabens durch Dr</w:t>
      </w:r>
      <w:r>
        <w:rPr>
          <w:rFonts w:cs="Arial"/>
          <w:lang w:eastAsia="de-DE"/>
        </w:rPr>
        <w:t>itte, zur KMU-Eigenschaft des Antragstel</w:t>
      </w:r>
      <w:r w:rsidRPr="00400A62">
        <w:rPr>
          <w:rFonts w:cs="Arial"/>
          <w:lang w:eastAsia="de-DE"/>
        </w:rPr>
        <w:t>lers</w:t>
      </w:r>
      <w:r w:rsidR="008C4A4E">
        <w:rPr>
          <w:rFonts w:cs="Arial"/>
          <w:lang w:eastAsia="de-DE"/>
        </w:rPr>
        <w:t>.</w:t>
      </w:r>
    </w:p>
    <w:p w14:paraId="79D628CD" w14:textId="77777777" w:rsidR="006D1C77" w:rsidRDefault="006D1C77" w:rsidP="006D1C77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6D1C77">
        <w:rPr>
          <w:rFonts w:cs="Arial"/>
          <w:lang w:eastAsia="de-DE"/>
        </w:rPr>
        <w:lastRenderedPageBreak/>
        <w:t>zu den Änderungen, die sich</w:t>
      </w:r>
      <w:r>
        <w:rPr>
          <w:rFonts w:cs="Arial"/>
          <w:lang w:eastAsia="de-DE"/>
        </w:rPr>
        <w:t xml:space="preserve"> während der Antragsprüfung ergeben haben,</w:t>
      </w:r>
    </w:p>
    <w:p w14:paraId="27E8386F" w14:textId="77777777" w:rsidR="006D1C77" w:rsidRPr="00AE163E" w:rsidRDefault="006D1C77" w:rsidP="006D1C77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AE163E">
        <w:rPr>
          <w:rFonts w:cs="Arial"/>
          <w:lang w:eastAsia="de-DE"/>
        </w:rPr>
        <w:t xml:space="preserve">dass </w:t>
      </w:r>
      <w:r>
        <w:rPr>
          <w:rFonts w:cs="Arial"/>
          <w:lang w:eastAsia="de-DE"/>
        </w:rPr>
        <w:t xml:space="preserve">es sich bei dem Unternehmen um </w:t>
      </w:r>
      <w:r w:rsidRPr="00AE163E">
        <w:rPr>
          <w:rFonts w:cs="Arial"/>
          <w:lang w:eastAsia="de-DE"/>
        </w:rPr>
        <w:t xml:space="preserve">kein Unternehmen in Schwierigkeiten im Sinne </w:t>
      </w:r>
      <w:r>
        <w:rPr>
          <w:rFonts w:cs="Arial"/>
          <w:lang w:eastAsia="de-DE"/>
        </w:rPr>
        <w:t xml:space="preserve">der </w:t>
      </w:r>
      <w:r w:rsidRPr="00AE163E">
        <w:rPr>
          <w:rFonts w:cs="Arial"/>
          <w:lang w:eastAsia="de-DE"/>
        </w:rPr>
        <w:t>Allgemeine</w:t>
      </w:r>
      <w:r>
        <w:rPr>
          <w:rFonts w:cs="Arial"/>
          <w:lang w:eastAsia="de-DE"/>
        </w:rPr>
        <w:t>n</w:t>
      </w:r>
      <w:r w:rsidRPr="00AE163E">
        <w:rPr>
          <w:rFonts w:cs="Arial"/>
          <w:lang w:eastAsia="de-DE"/>
        </w:rPr>
        <w:t xml:space="preserve"> Gruppenfreistellungsverordnung (kurz: AGVO)</w:t>
      </w:r>
      <w:r>
        <w:rPr>
          <w:rFonts w:cs="Arial"/>
          <w:lang w:eastAsia="de-DE"/>
        </w:rPr>
        <w:t xml:space="preserve"> handelt,</w:t>
      </w:r>
    </w:p>
    <w:p w14:paraId="12C9CCD3" w14:textId="77777777" w:rsidR="006D1C77" w:rsidRPr="00AE163E" w:rsidRDefault="006D1C77" w:rsidP="006D1C77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AE163E">
        <w:rPr>
          <w:rFonts w:cs="Arial"/>
          <w:lang w:eastAsia="de-DE"/>
        </w:rPr>
        <w:t>dass einer eventuellen Rückforderungsanordnung aufgrund eines früheren Beschlusses der EU-Kommission zur Feststellung der Unzulässigkeit einer Beihilfe und ihrer Unvereinbarkeit mit dem Binnenmarkt nachgekommen wurde</w:t>
      </w:r>
      <w:r>
        <w:rPr>
          <w:rFonts w:cs="Arial"/>
          <w:lang w:eastAsia="de-DE"/>
        </w:rPr>
        <w:t>,</w:t>
      </w:r>
    </w:p>
    <w:p w14:paraId="62C36D9A" w14:textId="77777777" w:rsidR="006D1C77" w:rsidRDefault="006D1C77" w:rsidP="006D1C77">
      <w:pPr>
        <w:pStyle w:val="KeinLeerraum"/>
        <w:numPr>
          <w:ilvl w:val="0"/>
          <w:numId w:val="10"/>
        </w:numPr>
        <w:rPr>
          <w:rFonts w:cs="Arial"/>
          <w:lang w:eastAsia="de-DE"/>
        </w:rPr>
      </w:pPr>
      <w:r w:rsidRPr="00AE163E">
        <w:rPr>
          <w:rFonts w:cs="Arial"/>
          <w:lang w:eastAsia="de-DE"/>
        </w:rPr>
        <w:t>Angaben über erhaltene und beantragte De-</w:t>
      </w:r>
      <w:proofErr w:type="spellStart"/>
      <w:r w:rsidRPr="00AE163E">
        <w:rPr>
          <w:rFonts w:cs="Arial"/>
          <w:lang w:eastAsia="de-DE"/>
        </w:rPr>
        <w:t>minimis</w:t>
      </w:r>
      <w:proofErr w:type="spellEnd"/>
      <w:r w:rsidRPr="00AE163E">
        <w:rPr>
          <w:rFonts w:cs="Arial"/>
          <w:lang w:eastAsia="de-DE"/>
        </w:rPr>
        <w:t>-Beihilfen</w:t>
      </w:r>
      <w:r>
        <w:rPr>
          <w:rFonts w:cs="Arial"/>
          <w:lang w:eastAsia="de-DE"/>
        </w:rPr>
        <w:t>.</w:t>
      </w:r>
    </w:p>
    <w:p w14:paraId="7E509A90" w14:textId="77777777"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jc w:val="both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Angaben, die für die Weitergewährung, das Belassen oder die Rückforderung d</w:t>
      </w:r>
      <w:r w:rsidR="00FE2ED3">
        <w:rPr>
          <w:rFonts w:ascii="Arial" w:eastAsia="Times New Roman" w:hAnsi="Arial" w:cs="Arial"/>
          <w:b/>
          <w:lang w:eastAsia="de-DE"/>
        </w:rPr>
        <w:t>er Zuwendung von Bedeutung sind.</w:t>
      </w:r>
    </w:p>
    <w:p w14:paraId="75467C8C" w14:textId="77777777" w:rsidR="00FE2ED3" w:rsidRDefault="00FE2ED3" w:rsidP="00FE2ED3">
      <w:pPr>
        <w:pStyle w:val="Textkrper"/>
        <w:spacing w:after="360" w:line="360" w:lineRule="exact"/>
        <w:jc w:val="left"/>
      </w:pPr>
      <w:r>
        <w:t>Hierunter fallen diejenigen Tatsachen, die dem BM</w:t>
      </w:r>
      <w:r w:rsidR="00981146">
        <w:t>WK</w:t>
      </w:r>
      <w:r>
        <w:t>/der ZUG bei der Durchführung des Vorhabens nach den Bestimmungen des Zuwendungsbescheides nebst Anlagen und Nebenbestimmungen mitzuteilen sind.</w:t>
      </w:r>
    </w:p>
    <w:p w14:paraId="21705AE0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der Zuwendungsempfänger nach Vorlage des Finanzierungsplans - auch nach Vorlage des Verwendungsnachweises - weitere Zuwendungen für denselben Zweck bei anderen öffentlichen Stellen beantragt oder von ihnen erhält oder dass er - ggf. weitere - Mittel von Dritten erhält (Nr.</w:t>
      </w:r>
      <w:r w:rsidR="00FE2ED3">
        <w:t xml:space="preserve"> 5.1 </w:t>
      </w:r>
      <w:proofErr w:type="spellStart"/>
      <w:r w:rsidR="00FE2ED3">
        <w:t>ANBest</w:t>
      </w:r>
      <w:proofErr w:type="spellEnd"/>
      <w:r w:rsidR="00FE2ED3">
        <w:t>-P</w:t>
      </w:r>
      <w:r w:rsidRPr="00E44CD0">
        <w:t>)</w:t>
      </w:r>
    </w:p>
    <w:p w14:paraId="6E5B04DC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der </w:t>
      </w:r>
      <w:r w:rsidR="00522450">
        <w:t>Verwendungs</w:t>
      </w:r>
      <w:r w:rsidRPr="00E44CD0">
        <w:t>zweck oder sonstige für die Bewilligung der Zuwendung maßgebliche Umstände sich ändern (Nr.</w:t>
      </w:r>
      <w:r w:rsidR="00461DA8">
        <w:t xml:space="preserve"> </w:t>
      </w:r>
      <w:r>
        <w:t xml:space="preserve">5.2 </w:t>
      </w:r>
      <w:proofErr w:type="spellStart"/>
      <w:r w:rsidR="00461DA8">
        <w:t>ANBest</w:t>
      </w:r>
      <w:proofErr w:type="spellEnd"/>
      <w:r w:rsidR="00461DA8">
        <w:t>-P</w:t>
      </w:r>
      <w:r w:rsidRPr="00E44CD0">
        <w:t>)</w:t>
      </w:r>
    </w:p>
    <w:p w14:paraId="34D662AF" w14:textId="77777777" w:rsidR="008C4A4E" w:rsidRPr="009373F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sich herausstellt, dass der Zuwendungszweck nicht oder mit der bewilligten </w:t>
      </w:r>
      <w:r w:rsidRPr="009373F0">
        <w:t xml:space="preserve">Zuwendung nicht zu erreichen ist (Nr. </w:t>
      </w:r>
      <w:r w:rsidR="002E0915">
        <w:t xml:space="preserve">1.6 </w:t>
      </w:r>
      <w:proofErr w:type="spellStart"/>
      <w:r w:rsidR="002E0915">
        <w:t>ANBest</w:t>
      </w:r>
      <w:proofErr w:type="spellEnd"/>
      <w:r w:rsidR="002E0915">
        <w:t>-P</w:t>
      </w:r>
      <w:r w:rsidRPr="009373F0">
        <w:t>)</w:t>
      </w:r>
    </w:p>
    <w:p w14:paraId="1F94A9AB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die angeforderten oder ausgezahlten Beträge nicht alsbald nach der Auszahlung für fällige Zahlungen verbraucht werden können (Nr</w:t>
      </w:r>
      <w:r w:rsidR="002E0915">
        <w:t xml:space="preserve">. </w:t>
      </w:r>
      <w:r w:rsidR="002472B6">
        <w:t>5</w:t>
      </w:r>
      <w:r w:rsidR="002E0915">
        <w:t xml:space="preserve">.4 </w:t>
      </w:r>
      <w:proofErr w:type="spellStart"/>
      <w:r w:rsidR="002E0915">
        <w:t>ANBest</w:t>
      </w:r>
      <w:proofErr w:type="spellEnd"/>
      <w:r w:rsidR="002E0915">
        <w:t>-P</w:t>
      </w:r>
      <w:r w:rsidRPr="00E44CD0">
        <w:t>)</w:t>
      </w:r>
    </w:p>
    <w:p w14:paraId="253DD3A6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>dass zu inventarisierende Gegenstände innerhalb der zeitlichen Bindung nicht mehr entsprechend dem Zuwendungszweck verwendet oder nicht mehr benötigt werden (Nr.</w:t>
      </w:r>
      <w:r w:rsidR="009B2509">
        <w:t> 5.5 </w:t>
      </w:r>
      <w:proofErr w:type="spellStart"/>
      <w:r w:rsidR="009B2509">
        <w:t>ANBest</w:t>
      </w:r>
      <w:proofErr w:type="spellEnd"/>
      <w:r w:rsidR="009B2509">
        <w:t>-P</w:t>
      </w:r>
      <w:r w:rsidRPr="00E44CD0">
        <w:t>)</w:t>
      </w:r>
    </w:p>
    <w:p w14:paraId="4FED4891" w14:textId="77777777" w:rsidR="008C4A4E" w:rsidRPr="00E44CD0" w:rsidRDefault="008C4A4E" w:rsidP="008C4A4E">
      <w:pPr>
        <w:pStyle w:val="Textkrper"/>
        <w:widowControl/>
        <w:numPr>
          <w:ilvl w:val="0"/>
          <w:numId w:val="2"/>
        </w:numPr>
        <w:spacing w:after="360" w:line="360" w:lineRule="exact"/>
      </w:pPr>
      <w:r w:rsidRPr="00E44CD0">
        <w:t xml:space="preserve">dass ein Insolvenzverfahren über das Vermögen des Zuwendungsempfängers beantragt oder eröffnet wird (Nr. </w:t>
      </w:r>
      <w:r w:rsidR="0048549C">
        <w:t xml:space="preserve">5.6 </w:t>
      </w:r>
      <w:proofErr w:type="spellStart"/>
      <w:r w:rsidR="0048549C">
        <w:t>ANBest</w:t>
      </w:r>
      <w:proofErr w:type="spellEnd"/>
      <w:r w:rsidR="0048549C">
        <w:t>-P</w:t>
      </w:r>
      <w:r w:rsidRPr="00E44CD0">
        <w:t>)</w:t>
      </w:r>
    </w:p>
    <w:p w14:paraId="5D05C488" w14:textId="77777777" w:rsidR="00AC5956" w:rsidRDefault="00AC5956" w:rsidP="00AC5956">
      <w:pPr>
        <w:pStyle w:val="Textkrper"/>
        <w:widowControl/>
        <w:numPr>
          <w:ilvl w:val="0"/>
          <w:numId w:val="2"/>
        </w:numPr>
        <w:spacing w:after="360" w:line="360" w:lineRule="exact"/>
      </w:pPr>
      <w:r>
        <w:t>dass der Zuwendungsempfänger bei einer Vergabe von Aufträgen, wenn die Zuwendung oder bei Finanzierung durch mehrere Stellen der Gesamtbetrag der Zuwendung mehr als 100.000 Euro beträgt, folgende Vorschriften anwendet:</w:t>
      </w:r>
    </w:p>
    <w:p w14:paraId="415177CA" w14:textId="77777777" w:rsidR="00AC5956" w:rsidRDefault="00AC5956" w:rsidP="00AC5956">
      <w:pPr>
        <w:pStyle w:val="Textkrper"/>
        <w:widowControl/>
        <w:numPr>
          <w:ilvl w:val="1"/>
          <w:numId w:val="2"/>
        </w:numPr>
        <w:spacing w:after="360" w:line="360" w:lineRule="exact"/>
      </w:pPr>
      <w:r>
        <w:lastRenderedPageBreak/>
        <w:t xml:space="preserve">für die Vergabe von Liefer- und Dienstleistungen die Verfahrensordnung für die Vergabe öffentlicher Liefer- und Dienstleistungsaufträge unterhalb der EU-Schwellenwerte (Unterschwellenvergabeordnung – </w:t>
      </w:r>
      <w:proofErr w:type="spellStart"/>
      <w:r>
        <w:t>UVgO</w:t>
      </w:r>
      <w:proofErr w:type="spellEnd"/>
      <w:r>
        <w:t>). Die Verpflichtung zur Anwendung gilt nicht für folgende Vorschriften:</w:t>
      </w:r>
    </w:p>
    <w:p w14:paraId="6D6D46D0" w14:textId="77777777" w:rsidR="00AC5956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</w:pPr>
      <w:r w:rsidRPr="00AC5956">
        <w:rPr>
          <w:rFonts w:ascii="Arial" w:hAnsi="Arial"/>
          <w:sz w:val="22"/>
          <w:szCs w:val="20"/>
        </w:rPr>
        <w:t>§ 22 zur Aufteilung nach Losen</w:t>
      </w:r>
      <w:r>
        <w:t>,</w:t>
      </w:r>
    </w:p>
    <w:p w14:paraId="14428FE1" w14:textId="77777777" w:rsidR="00AC5956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</w:pPr>
      <w:r w:rsidRPr="00AC5956">
        <w:rPr>
          <w:rFonts w:ascii="Arial" w:hAnsi="Arial"/>
          <w:sz w:val="22"/>
          <w:szCs w:val="20"/>
        </w:rPr>
        <w:t>§ 28 Absatz 1 Satz 3 zur Veröffentlichung von Auftragsbekanntmachungen</w:t>
      </w:r>
      <w:r>
        <w:t>,</w:t>
      </w:r>
    </w:p>
    <w:p w14:paraId="58965705" w14:textId="77777777" w:rsidR="00AC5956" w:rsidRPr="00AC5956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  <w:rPr>
          <w:rFonts w:ascii="Arial" w:hAnsi="Arial"/>
          <w:sz w:val="22"/>
          <w:szCs w:val="20"/>
        </w:rPr>
      </w:pPr>
      <w:r w:rsidRPr="00AC5956">
        <w:rPr>
          <w:rFonts w:ascii="Arial" w:hAnsi="Arial"/>
          <w:sz w:val="22"/>
          <w:szCs w:val="20"/>
        </w:rPr>
        <w:t>§ 30 zur Vergabebekanntmachung,</w:t>
      </w:r>
    </w:p>
    <w:p w14:paraId="1A954212" w14:textId="77777777" w:rsidR="00AC5956" w:rsidRPr="00AC5956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  <w:rPr>
          <w:rFonts w:ascii="Arial" w:hAnsi="Arial"/>
          <w:sz w:val="22"/>
          <w:szCs w:val="20"/>
        </w:rPr>
      </w:pPr>
      <w:r w:rsidRPr="00AC5956">
        <w:rPr>
          <w:rFonts w:ascii="Arial" w:hAnsi="Arial"/>
          <w:sz w:val="22"/>
          <w:szCs w:val="20"/>
        </w:rPr>
        <w:t>§ 38 Abs. 2 bis 4 zu Form und Übermittlung der Teilnahmeanträge und Angebote,</w:t>
      </w:r>
    </w:p>
    <w:p w14:paraId="6B146B8D" w14:textId="77777777" w:rsidR="00AC5956" w:rsidRPr="00AC5956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  <w:rPr>
          <w:rFonts w:ascii="Arial" w:hAnsi="Arial"/>
          <w:sz w:val="22"/>
          <w:szCs w:val="20"/>
        </w:rPr>
      </w:pPr>
      <w:r w:rsidRPr="00AC5956">
        <w:rPr>
          <w:rFonts w:ascii="Arial" w:hAnsi="Arial"/>
          <w:sz w:val="22"/>
          <w:szCs w:val="20"/>
        </w:rPr>
        <w:t>§ 44 zu ungewöhnlich niedrigen Angeboten,</w:t>
      </w:r>
    </w:p>
    <w:p w14:paraId="096EF736" w14:textId="77777777" w:rsidR="006F2698" w:rsidRDefault="00AC5956" w:rsidP="00AD693B">
      <w:pPr>
        <w:pStyle w:val="absatz"/>
        <w:numPr>
          <w:ilvl w:val="2"/>
          <w:numId w:val="13"/>
        </w:numPr>
        <w:spacing w:before="0" w:beforeAutospacing="0" w:after="0" w:afterAutospacing="0" w:line="276" w:lineRule="auto"/>
        <w:ind w:left="2154" w:hanging="357"/>
        <w:rPr>
          <w:rFonts w:ascii="Arial" w:hAnsi="Arial"/>
          <w:sz w:val="22"/>
          <w:szCs w:val="20"/>
        </w:rPr>
      </w:pPr>
      <w:r w:rsidRPr="00AC5956">
        <w:rPr>
          <w:rFonts w:ascii="Arial" w:hAnsi="Arial"/>
          <w:sz w:val="22"/>
          <w:szCs w:val="20"/>
        </w:rPr>
        <w:t>§ 46 zur Unterrichtung der Bewerber und Bieter.</w:t>
      </w:r>
    </w:p>
    <w:p w14:paraId="010E972E" w14:textId="77777777" w:rsidR="006F2698" w:rsidRPr="006F2698" w:rsidRDefault="006F2698" w:rsidP="006F2698">
      <w:pPr>
        <w:pStyle w:val="absatz"/>
        <w:ind w:left="2160"/>
        <w:rPr>
          <w:rFonts w:ascii="Arial" w:hAnsi="Arial"/>
          <w:sz w:val="22"/>
          <w:szCs w:val="20"/>
        </w:rPr>
      </w:pPr>
    </w:p>
    <w:p w14:paraId="1DD9DCCB" w14:textId="2AE127A9" w:rsidR="006C1287" w:rsidRPr="00F346BA" w:rsidRDefault="00AC5956" w:rsidP="00F346BA">
      <w:pPr>
        <w:pStyle w:val="absatz"/>
        <w:numPr>
          <w:ilvl w:val="1"/>
          <w:numId w:val="13"/>
        </w:numPr>
        <w:spacing w:before="0" w:beforeAutospacing="0" w:after="360" w:afterAutospacing="0" w:line="360" w:lineRule="exact"/>
        <w:ind w:left="1434" w:hanging="357"/>
        <w:rPr>
          <w:rFonts w:ascii="Arial" w:hAnsi="Arial"/>
          <w:sz w:val="22"/>
          <w:szCs w:val="20"/>
        </w:rPr>
      </w:pPr>
      <w:r w:rsidRPr="00AC5956">
        <w:rPr>
          <w:rFonts w:ascii="Arial" w:hAnsi="Arial"/>
          <w:sz w:val="22"/>
          <w:szCs w:val="20"/>
        </w:rPr>
        <w:t>für die Vergabe von Bauleistungen Teil A Abschnitt 1 der Vergabe- und Vertragsor</w:t>
      </w:r>
      <w:r w:rsidR="006F2698">
        <w:rPr>
          <w:rFonts w:ascii="Arial" w:hAnsi="Arial"/>
          <w:sz w:val="22"/>
          <w:szCs w:val="20"/>
        </w:rPr>
        <w:t xml:space="preserve">dnung für Bauleistungen (VOB/A) (Nr. 3.1 </w:t>
      </w:r>
      <w:proofErr w:type="spellStart"/>
      <w:r w:rsidR="006F2698">
        <w:rPr>
          <w:rFonts w:ascii="Arial" w:hAnsi="Arial"/>
          <w:sz w:val="22"/>
          <w:szCs w:val="20"/>
        </w:rPr>
        <w:t>ANBest</w:t>
      </w:r>
      <w:proofErr w:type="spellEnd"/>
      <w:r w:rsidR="006F2698">
        <w:rPr>
          <w:rFonts w:ascii="Arial" w:hAnsi="Arial"/>
          <w:sz w:val="22"/>
          <w:szCs w:val="20"/>
        </w:rPr>
        <w:t>-P).</w:t>
      </w:r>
    </w:p>
    <w:p w14:paraId="49F813CD" w14:textId="77777777" w:rsidR="00E727DB" w:rsidRPr="00041DC4" w:rsidRDefault="006C1287" w:rsidP="006C1287">
      <w:pPr>
        <w:pStyle w:val="Textkrper"/>
        <w:widowControl/>
        <w:tabs>
          <w:tab w:val="left" w:pos="0"/>
        </w:tabs>
        <w:spacing w:after="360" w:line="360" w:lineRule="exact"/>
      </w:pPr>
      <w:r w:rsidRPr="00914803">
        <w:rPr>
          <w:color w:val="FF0000"/>
        </w:rPr>
        <w:t xml:space="preserve"> </w:t>
      </w:r>
      <w:r w:rsidR="008C4A4E">
        <w:t>Subventionserheblich sind ferner die Tatsachen im Zwischennachweis und im Verwendungs</w:t>
      </w:r>
      <w:r w:rsidR="008C4A4E">
        <w:softHyphen/>
        <w:t xml:space="preserve">nachweis </w:t>
      </w:r>
      <w:r w:rsidR="008C4A4E" w:rsidRPr="00E44CD0">
        <w:t>(zahlenmäßiger Nachweis sowie Sachbericht)</w:t>
      </w:r>
      <w:r w:rsidR="008C4A4E">
        <w:t>, die die zweckentsprechende Verwendung der Z</w:t>
      </w:r>
      <w:r w:rsidR="00041DC4">
        <w:t>uwendung betreffen.</w:t>
      </w:r>
    </w:p>
    <w:p w14:paraId="4D1C7C92" w14:textId="77777777" w:rsidR="00E727DB" w:rsidRPr="00E727DB" w:rsidRDefault="00E727DB" w:rsidP="00E727DB">
      <w:pPr>
        <w:pStyle w:val="Listenabsatz"/>
        <w:numPr>
          <w:ilvl w:val="0"/>
          <w:numId w:val="9"/>
        </w:numPr>
        <w:spacing w:before="360"/>
        <w:contextualSpacing w:val="0"/>
        <w:rPr>
          <w:rFonts w:ascii="Arial" w:eastAsia="Times New Roman" w:hAnsi="Arial" w:cs="Arial"/>
          <w:b/>
          <w:lang w:eastAsia="de-DE"/>
        </w:rPr>
      </w:pPr>
      <w:r w:rsidRPr="00E727DB">
        <w:rPr>
          <w:rFonts w:ascii="Arial" w:eastAsia="Times New Roman" w:hAnsi="Arial" w:cs="Arial"/>
          <w:b/>
          <w:lang w:eastAsia="de-DE"/>
        </w:rPr>
        <w:t>Scheingeschäft, Missbrauch von Gestaltungsmöglichkeiten</w:t>
      </w:r>
    </w:p>
    <w:p w14:paraId="58E3CE25" w14:textId="77777777" w:rsidR="00E727DB" w:rsidRPr="008037DD" w:rsidRDefault="00E727DB" w:rsidP="00AD693B">
      <w:pPr>
        <w:spacing w:after="360" w:line="360" w:lineRule="exact"/>
        <w:rPr>
          <w:rFonts w:ascii="Arial" w:hAnsi="Arial" w:cs="Arial"/>
          <w:sz w:val="22"/>
          <w:szCs w:val="22"/>
        </w:rPr>
      </w:pPr>
      <w:r w:rsidRPr="00E727DB">
        <w:rPr>
          <w:rFonts w:ascii="Arial" w:hAnsi="Arial" w:cs="Arial"/>
          <w:sz w:val="22"/>
          <w:szCs w:val="22"/>
        </w:rPr>
        <w:t>Subventionserheblich sind ferner solche Tatsachen, die durch Scheingeschäfte oder Scheinhandlungen verdeckt werden, sowie Rechtsgeschäfte oder Handlungen, die im Zusammenhang mit der Zuwendung unter Missbrauch von Gestaltungsmöglichkeiten vorgenommen werden.</w:t>
      </w:r>
    </w:p>
    <w:sectPr w:rsidR="00E727DB" w:rsidRPr="008037DD" w:rsidSect="00196386">
      <w:headerReference w:type="default" r:id="rId8"/>
      <w:footerReference w:type="first" r:id="rId9"/>
      <w:footnotePr>
        <w:numRestart w:val="eachSect"/>
      </w:footnotePr>
      <w:type w:val="continuous"/>
      <w:pgSz w:w="11907" w:h="16840" w:code="9"/>
      <w:pgMar w:top="1729" w:right="1298" w:bottom="1418" w:left="1253" w:header="862" w:footer="862" w:gutter="0"/>
      <w:cols w:space="70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4D56F" w14:textId="77777777" w:rsidR="006C1287" w:rsidRDefault="006C1287">
      <w:r>
        <w:separator/>
      </w:r>
    </w:p>
  </w:endnote>
  <w:endnote w:type="continuationSeparator" w:id="0">
    <w:p w14:paraId="502C208E" w14:textId="77777777" w:rsidR="006C1287" w:rsidRDefault="006C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b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5ADFC" w14:textId="77777777" w:rsidR="00F66684" w:rsidRPr="008F2DC6" w:rsidRDefault="00F66684" w:rsidP="00C477DE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433" w:right="19"/>
      <w:jc w:val="right"/>
      <w:rPr>
        <w:rFonts w:ascii="Arial" w:hAnsi="Arial"/>
        <w:b/>
        <w:vanish/>
        <w:sz w:val="16"/>
        <w:u w:val="single"/>
      </w:rPr>
    </w:pPr>
  </w:p>
  <w:p w14:paraId="0C507EA2" w14:textId="77777777" w:rsidR="00F66684" w:rsidRPr="008F2DC6" w:rsidRDefault="00F66684" w:rsidP="00C477DE">
    <w:pPr>
      <w:pStyle w:val="Fuzeile"/>
      <w:tabs>
        <w:tab w:val="clear" w:pos="4536"/>
        <w:tab w:val="clear" w:pos="9072"/>
      </w:tabs>
      <w:spacing w:before="40"/>
      <w:ind w:right="47"/>
      <w:jc w:val="right"/>
      <w:rPr>
        <w:rFonts w:ascii="Arial" w:hAnsi="Arial"/>
        <w:b/>
        <w:vanish/>
        <w:sz w:val="16"/>
      </w:rPr>
    </w:pPr>
    <w:r w:rsidRPr="008F2DC6">
      <w:rPr>
        <w:rFonts w:ascii="Arial" w:hAnsi="Arial"/>
        <w:b/>
        <w:vanish/>
        <w:sz w:val="16"/>
      </w:rPr>
      <w:t>BM</w:t>
    </w:r>
    <w:r w:rsidR="00981146">
      <w:rPr>
        <w:rFonts w:ascii="Arial" w:hAnsi="Arial"/>
        <w:b/>
        <w:vanish/>
        <w:sz w:val="16"/>
      </w:rPr>
      <w:t>WK-Vordr. 0115a/10</w:t>
    </w:r>
    <w:r w:rsidRPr="008F2DC6">
      <w:rPr>
        <w:rFonts w:ascii="Arial" w:hAnsi="Arial"/>
        <w:b/>
        <w:vanish/>
        <w:sz w:val="16"/>
      </w:rPr>
      <w:t>.</w:t>
    </w:r>
    <w:r w:rsidR="00981146">
      <w:rPr>
        <w:rFonts w:ascii="Arial" w:hAnsi="Arial"/>
        <w:b/>
        <w:vanish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5826" w14:textId="77777777" w:rsidR="006C1287" w:rsidRDefault="006C1287">
      <w:r>
        <w:separator/>
      </w:r>
    </w:p>
  </w:footnote>
  <w:footnote w:type="continuationSeparator" w:id="0">
    <w:p w14:paraId="609578A7" w14:textId="77777777" w:rsidR="006C1287" w:rsidRDefault="006C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AE804" w14:textId="1D6A6F9D" w:rsidR="00F66684" w:rsidRPr="00634356" w:rsidRDefault="00F66684">
    <w:pPr>
      <w:pStyle w:val="Kopfzeile"/>
      <w:jc w:val="center"/>
      <w:rPr>
        <w:rFonts w:ascii="Arial" w:hAnsi="Arial" w:cs="Arial"/>
      </w:rPr>
    </w:pPr>
    <w:r w:rsidRPr="00634356">
      <w:rPr>
        <w:rFonts w:ascii="Arial" w:hAnsi="Arial" w:cs="Arial"/>
      </w:rPr>
      <w:fldChar w:fldCharType="begin"/>
    </w:r>
    <w:r w:rsidRPr="00634356">
      <w:rPr>
        <w:rFonts w:ascii="Arial" w:hAnsi="Arial" w:cs="Arial"/>
      </w:rPr>
      <w:instrText>PAGE   \* MERGEFORMAT</w:instrText>
    </w:r>
    <w:r w:rsidRPr="00634356">
      <w:rPr>
        <w:rFonts w:ascii="Arial" w:hAnsi="Arial" w:cs="Arial"/>
      </w:rPr>
      <w:fldChar w:fldCharType="separate"/>
    </w:r>
    <w:r w:rsidR="004324C7">
      <w:rPr>
        <w:rFonts w:ascii="Arial" w:hAnsi="Arial" w:cs="Arial"/>
        <w:noProof/>
      </w:rPr>
      <w:t>2</w:t>
    </w:r>
    <w:r w:rsidRPr="00634356">
      <w:rPr>
        <w:rFonts w:ascii="Arial" w:hAnsi="Arial" w:cs="Arial"/>
      </w:rPr>
      <w:fldChar w:fldCharType="end"/>
    </w:r>
  </w:p>
  <w:p w14:paraId="5383E5A0" w14:textId="77777777" w:rsidR="00F66684" w:rsidRDefault="00F66684">
    <w:pPr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367"/>
    <w:multiLevelType w:val="multilevel"/>
    <w:tmpl w:val="7C7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194"/>
    <w:multiLevelType w:val="hybridMultilevel"/>
    <w:tmpl w:val="B29EE14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CB5EB5"/>
    <w:multiLevelType w:val="hybridMultilevel"/>
    <w:tmpl w:val="9C9A665A"/>
    <w:lvl w:ilvl="0" w:tplc="77E8822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E35"/>
    <w:multiLevelType w:val="hybridMultilevel"/>
    <w:tmpl w:val="DA6C0B8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9514B02"/>
    <w:multiLevelType w:val="hybridMultilevel"/>
    <w:tmpl w:val="A95A7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52C24B9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5A87"/>
    <w:multiLevelType w:val="hybridMultilevel"/>
    <w:tmpl w:val="6E948A1A"/>
    <w:lvl w:ilvl="0" w:tplc="0D6E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1E50"/>
    <w:multiLevelType w:val="hybridMultilevel"/>
    <w:tmpl w:val="13564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9FA"/>
    <w:multiLevelType w:val="hybridMultilevel"/>
    <w:tmpl w:val="EEE464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3B05"/>
    <w:multiLevelType w:val="hybridMultilevel"/>
    <w:tmpl w:val="F5C07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84334"/>
    <w:multiLevelType w:val="hybridMultilevel"/>
    <w:tmpl w:val="1D6E7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C24B9C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131A9"/>
    <w:multiLevelType w:val="hybridMultilevel"/>
    <w:tmpl w:val="B13011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4A5C"/>
    <w:multiLevelType w:val="hybridMultilevel"/>
    <w:tmpl w:val="E814C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87"/>
    <w:rsid w:val="00000380"/>
    <w:rsid w:val="00012B18"/>
    <w:rsid w:val="00041DC4"/>
    <w:rsid w:val="00051221"/>
    <w:rsid w:val="000705A1"/>
    <w:rsid w:val="000A736B"/>
    <w:rsid w:val="000C5825"/>
    <w:rsid w:val="000F6DF3"/>
    <w:rsid w:val="00142884"/>
    <w:rsid w:val="00157176"/>
    <w:rsid w:val="00164106"/>
    <w:rsid w:val="0017455E"/>
    <w:rsid w:val="00196386"/>
    <w:rsid w:val="001E60FF"/>
    <w:rsid w:val="001F58BA"/>
    <w:rsid w:val="00204305"/>
    <w:rsid w:val="00232EBF"/>
    <w:rsid w:val="002472B6"/>
    <w:rsid w:val="0024785C"/>
    <w:rsid w:val="00292F32"/>
    <w:rsid w:val="002B7BEF"/>
    <w:rsid w:val="002E0915"/>
    <w:rsid w:val="00321D9A"/>
    <w:rsid w:val="003349DD"/>
    <w:rsid w:val="0037516D"/>
    <w:rsid w:val="00386F84"/>
    <w:rsid w:val="003C550E"/>
    <w:rsid w:val="00400A62"/>
    <w:rsid w:val="004324C7"/>
    <w:rsid w:val="00461DA8"/>
    <w:rsid w:val="00470097"/>
    <w:rsid w:val="0048549C"/>
    <w:rsid w:val="004A60C9"/>
    <w:rsid w:val="004B0E02"/>
    <w:rsid w:val="004B60B2"/>
    <w:rsid w:val="004B6805"/>
    <w:rsid w:val="004F1C23"/>
    <w:rsid w:val="00512990"/>
    <w:rsid w:val="00522450"/>
    <w:rsid w:val="0054028C"/>
    <w:rsid w:val="005542CD"/>
    <w:rsid w:val="00575C00"/>
    <w:rsid w:val="00581938"/>
    <w:rsid w:val="00594FB3"/>
    <w:rsid w:val="005C4F47"/>
    <w:rsid w:val="005D38D5"/>
    <w:rsid w:val="006225F7"/>
    <w:rsid w:val="00634356"/>
    <w:rsid w:val="00644FF1"/>
    <w:rsid w:val="006C1287"/>
    <w:rsid w:val="006D1C77"/>
    <w:rsid w:val="006D56CD"/>
    <w:rsid w:val="006E686B"/>
    <w:rsid w:val="006F2698"/>
    <w:rsid w:val="00725863"/>
    <w:rsid w:val="00756470"/>
    <w:rsid w:val="007C116D"/>
    <w:rsid w:val="007C671B"/>
    <w:rsid w:val="007D7AE4"/>
    <w:rsid w:val="007E15DC"/>
    <w:rsid w:val="00800A24"/>
    <w:rsid w:val="00801435"/>
    <w:rsid w:val="008037DD"/>
    <w:rsid w:val="00814830"/>
    <w:rsid w:val="008240F2"/>
    <w:rsid w:val="008C4A4E"/>
    <w:rsid w:val="008F2DC6"/>
    <w:rsid w:val="00914803"/>
    <w:rsid w:val="00921069"/>
    <w:rsid w:val="009373F0"/>
    <w:rsid w:val="00973FC1"/>
    <w:rsid w:val="00974C70"/>
    <w:rsid w:val="009770EE"/>
    <w:rsid w:val="00981146"/>
    <w:rsid w:val="009931CE"/>
    <w:rsid w:val="00996F67"/>
    <w:rsid w:val="009B2509"/>
    <w:rsid w:val="009F1160"/>
    <w:rsid w:val="009F7901"/>
    <w:rsid w:val="00A02A94"/>
    <w:rsid w:val="00A13528"/>
    <w:rsid w:val="00A5057D"/>
    <w:rsid w:val="00A53D91"/>
    <w:rsid w:val="00A81D4C"/>
    <w:rsid w:val="00AB0258"/>
    <w:rsid w:val="00AC5956"/>
    <w:rsid w:val="00AD693B"/>
    <w:rsid w:val="00AE1131"/>
    <w:rsid w:val="00AE5F43"/>
    <w:rsid w:val="00B26744"/>
    <w:rsid w:val="00B2674D"/>
    <w:rsid w:val="00B52620"/>
    <w:rsid w:val="00B65456"/>
    <w:rsid w:val="00B86B03"/>
    <w:rsid w:val="00B97B6E"/>
    <w:rsid w:val="00C05D1F"/>
    <w:rsid w:val="00C477DE"/>
    <w:rsid w:val="00C815BD"/>
    <w:rsid w:val="00CB37C3"/>
    <w:rsid w:val="00CD18E8"/>
    <w:rsid w:val="00D06D7F"/>
    <w:rsid w:val="00D1112D"/>
    <w:rsid w:val="00D3201D"/>
    <w:rsid w:val="00D6487E"/>
    <w:rsid w:val="00D85814"/>
    <w:rsid w:val="00D86CD3"/>
    <w:rsid w:val="00D94E75"/>
    <w:rsid w:val="00DA70FE"/>
    <w:rsid w:val="00DD5F4D"/>
    <w:rsid w:val="00DE6B97"/>
    <w:rsid w:val="00DF411C"/>
    <w:rsid w:val="00DF7A6D"/>
    <w:rsid w:val="00E727DB"/>
    <w:rsid w:val="00E97FDA"/>
    <w:rsid w:val="00EC29A8"/>
    <w:rsid w:val="00ED6F85"/>
    <w:rsid w:val="00F16FA6"/>
    <w:rsid w:val="00F346BA"/>
    <w:rsid w:val="00F45762"/>
    <w:rsid w:val="00F66684"/>
    <w:rsid w:val="00F82835"/>
    <w:rsid w:val="00F87AA1"/>
    <w:rsid w:val="00FB020C"/>
    <w:rsid w:val="00FB6C81"/>
    <w:rsid w:val="00FD4EA7"/>
    <w:rsid w:val="00FE2ED3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B9BD8A"/>
  <w15:docId w15:val="{6101A10C-6FEC-4B7C-9239-0B1BF8D4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rFonts w:ascii="CubicPS" w:hAnsi="CubicPS"/>
      <w:position w:val="6"/>
      <w:sz w:val="18"/>
    </w:rPr>
  </w:style>
  <w:style w:type="paragraph" w:customStyle="1" w:styleId="Beurteilung-linkeSpalte">
    <w:name w:val="Beurteilung-linke Spalte"/>
    <w:pPr>
      <w:widowControl w:val="0"/>
      <w:spacing w:before="240" w:line="-240" w:lineRule="auto"/>
      <w:ind w:right="4608"/>
    </w:pPr>
    <w:rPr>
      <w:rFonts w:ascii="Courier" w:hAnsi="Courier"/>
    </w:rPr>
  </w:style>
  <w:style w:type="paragraph" w:customStyle="1" w:styleId="Betreff">
    <w:name w:val="Betreff"/>
    <w:pPr>
      <w:widowControl w:val="0"/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customStyle="1" w:styleId="BezugAnlage">
    <w:name w:val="Bezug.Anlage"/>
    <w:pPr>
      <w:widowControl w:val="0"/>
      <w:tabs>
        <w:tab w:val="left" w:pos="720"/>
      </w:tabs>
      <w:spacing w:before="120" w:line="-240" w:lineRule="auto"/>
      <w:ind w:left="1440" w:hanging="1008"/>
    </w:pPr>
    <w:rPr>
      <w:rFonts w:ascii="Courier" w:hAnsi="Courier"/>
      <w:sz w:val="24"/>
    </w:rPr>
  </w:style>
  <w:style w:type="paragraph" w:customStyle="1" w:styleId="Beurteilung-rechteSpalte">
    <w:name w:val="Beurteilung-rechte Spalte"/>
    <w:pPr>
      <w:widowControl w:val="0"/>
      <w:spacing w:before="240" w:line="-240" w:lineRule="auto"/>
      <w:ind w:left="5184"/>
    </w:pPr>
    <w:rPr>
      <w:rFonts w:ascii="Courier" w:hAnsi="Courier"/>
      <w:i/>
    </w:rPr>
  </w:style>
  <w:style w:type="paragraph" w:customStyle="1" w:styleId="hier">
    <w:name w:val="hier"/>
    <w:pPr>
      <w:widowControl w:val="0"/>
      <w:tabs>
        <w:tab w:val="left" w:pos="2160"/>
      </w:tabs>
      <w:ind w:left="2304" w:hanging="864"/>
    </w:pPr>
    <w:rPr>
      <w:rFonts w:ascii="Courier" w:hAnsi="Courier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60" w:after="60" w:line="360" w:lineRule="exact"/>
      <w:ind w:left="567"/>
    </w:pPr>
    <w:rPr>
      <w:rFonts w:ascii="Arial" w:hAnsi="Arial"/>
      <w:sz w:val="22"/>
    </w:rPr>
  </w:style>
  <w:style w:type="paragraph" w:styleId="Textkrper-Einzug3">
    <w:name w:val="Body Text Indent 3"/>
    <w:basedOn w:val="Standard"/>
    <w:rsid w:val="00A13528"/>
    <w:pPr>
      <w:tabs>
        <w:tab w:val="left" w:pos="567"/>
      </w:tabs>
      <w:spacing w:line="-360" w:lineRule="auto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A13528"/>
    <w:pPr>
      <w:spacing w:line="-360" w:lineRule="auto"/>
      <w:jc w:val="both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FE55A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727D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E727DB"/>
    <w:pPr>
      <w:spacing w:after="240"/>
    </w:pPr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E727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7DB"/>
    <w:pPr>
      <w:widowControl/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E727DB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72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E727DB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63435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D1C77"/>
    <w:pPr>
      <w:widowControl w:val="0"/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semiHidden/>
    <w:rsid w:val="006D1C77"/>
    <w:rPr>
      <w:rFonts w:ascii="Calibri" w:eastAsia="Calibri" w:hAnsi="Calibri"/>
      <w:b/>
      <w:bCs/>
      <w:lang w:eastAsia="en-US"/>
    </w:rPr>
  </w:style>
  <w:style w:type="paragraph" w:customStyle="1" w:styleId="absatz">
    <w:name w:val="absatz"/>
    <w:basedOn w:val="Standard"/>
    <w:rsid w:val="00AC595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9_NKI\KKS\Fachliche-Schwerpunkte\01_&#252;bergreifende%20Fachthemen\12%20Subventionsbelehrung\Vorlagen%20allg\0115a_Anlage%20B_BMW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FFD7-CA6D-4196-9B49-2049B24A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0115a_Anlage B_BMWK</Template>
  <TotalTime>0</TotalTime>
  <Pages>3</Pages>
  <Words>701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0115a/08.18, A n l a g e   A</vt:lpstr>
    </vt:vector>
  </TitlesOfParts>
  <Company>DLR-IP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0115a/08.18, A n l a g e   A</dc:title>
  <dc:subject/>
  <dc:creator>Linda Kohrt</dc:creator>
  <cp:keywords/>
  <cp:lastModifiedBy>Chi-Yung Quach</cp:lastModifiedBy>
  <cp:revision>4</cp:revision>
  <cp:lastPrinted>2015-09-02T11:23:00Z</cp:lastPrinted>
  <dcterms:created xsi:type="dcterms:W3CDTF">2022-11-01T09:11:00Z</dcterms:created>
  <dcterms:modified xsi:type="dcterms:W3CDTF">2022-12-07T16:14:00Z</dcterms:modified>
</cp:coreProperties>
</file>